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7C3557" w14:textId="0DF6782B" w:rsidR="0007797C" w:rsidRPr="00CD1C62" w:rsidRDefault="0007797C" w:rsidP="0007797C">
      <w:pPr>
        <w:pStyle w:val="Docketnumber"/>
        <w:rPr>
          <w:sz w:val="24"/>
          <w:szCs w:val="24"/>
        </w:rPr>
      </w:pPr>
      <w:r w:rsidRPr="00CD1C62">
        <w:rPr>
          <w:sz w:val="24"/>
          <w:szCs w:val="24"/>
        </w:rPr>
        <w:t>docket No. 50</w:t>
      </w:r>
      <w:r w:rsidR="00BC3357" w:rsidRPr="00CD1C62">
        <w:rPr>
          <w:sz w:val="24"/>
          <w:szCs w:val="24"/>
        </w:rPr>
        <w:t>9</w:t>
      </w:r>
      <w:r w:rsidR="00FD4A15" w:rsidRPr="00CD1C62">
        <w:rPr>
          <w:sz w:val="24"/>
          <w:szCs w:val="24"/>
        </w:rPr>
        <w:t>27</w:t>
      </w:r>
      <w:bookmarkStart w:id="0" w:name="_GoBack"/>
      <w:bookmarkEnd w:id="0"/>
    </w:p>
    <w:p w14:paraId="02FC593E" w14:textId="77777777" w:rsidR="00AF3657" w:rsidRPr="00CD1C62" w:rsidRDefault="00AF3657" w:rsidP="00AF3657">
      <w:pPr>
        <w:jc w:val="center"/>
        <w:rPr>
          <w:b/>
          <w:szCs w:val="24"/>
        </w:rPr>
      </w:pPr>
    </w:p>
    <w:tbl>
      <w:tblPr>
        <w:tblW w:w="9365" w:type="dxa"/>
        <w:tblLayout w:type="fixed"/>
        <w:tblLook w:val="01E0" w:firstRow="1" w:lastRow="1" w:firstColumn="1" w:lastColumn="1" w:noHBand="0" w:noVBand="0"/>
      </w:tblPr>
      <w:tblGrid>
        <w:gridCol w:w="4770"/>
        <w:gridCol w:w="450"/>
        <w:gridCol w:w="4145"/>
      </w:tblGrid>
      <w:tr w:rsidR="00CD1C62" w:rsidRPr="00CD1C62" w14:paraId="7FF3F7C9" w14:textId="77777777" w:rsidTr="00C151D1">
        <w:tc>
          <w:tcPr>
            <w:tcW w:w="4770" w:type="dxa"/>
          </w:tcPr>
          <w:p w14:paraId="6A7A98B4" w14:textId="008F926E" w:rsidR="000D0E44" w:rsidRPr="00CD1C62" w:rsidRDefault="00FD4A15" w:rsidP="00D75599">
            <w:pPr>
              <w:jc w:val="left"/>
              <w:rPr>
                <w:b/>
                <w:szCs w:val="24"/>
              </w:rPr>
            </w:pPr>
            <w:r w:rsidRPr="00CD1C62">
              <w:rPr>
                <w:b/>
                <w:szCs w:val="24"/>
              </w:rPr>
              <w:t xml:space="preserve">PETITION OF THE CITY OF MESQUITE AND TALTY SPECIAL UTILITY DISTRICT FOR </w:t>
            </w:r>
            <w:r w:rsidR="00C151D1" w:rsidRPr="00CD1C62">
              <w:rPr>
                <w:b/>
                <w:szCs w:val="24"/>
              </w:rPr>
              <w:t>APPROVAL</w:t>
            </w:r>
          </w:p>
          <w:p w14:paraId="6C23FC60" w14:textId="6FD73CBF" w:rsidR="000D0E44" w:rsidRPr="00CD1C62" w:rsidRDefault="00FD4A15" w:rsidP="00D75599">
            <w:pPr>
              <w:jc w:val="left"/>
              <w:rPr>
                <w:b/>
                <w:szCs w:val="24"/>
              </w:rPr>
            </w:pPr>
            <w:r w:rsidRPr="00CD1C62">
              <w:rPr>
                <w:b/>
                <w:szCs w:val="24"/>
              </w:rPr>
              <w:t xml:space="preserve">OF A SERVICE AREA CONTRACT UNDER TEXAS </w:t>
            </w:r>
            <w:r w:rsidR="00C151D1" w:rsidRPr="00CD1C62">
              <w:rPr>
                <w:b/>
                <w:szCs w:val="24"/>
              </w:rPr>
              <w:t>WATER CODE</w:t>
            </w:r>
          </w:p>
          <w:p w14:paraId="25F848F6" w14:textId="74800AE2" w:rsidR="00AF3657" w:rsidRPr="00CD1C62" w:rsidRDefault="00FD4A15" w:rsidP="000D0E44">
            <w:pPr>
              <w:jc w:val="left"/>
              <w:rPr>
                <w:b/>
                <w:szCs w:val="24"/>
              </w:rPr>
            </w:pPr>
            <w:r w:rsidRPr="00CD1C62">
              <w:rPr>
                <w:b/>
                <w:szCs w:val="24"/>
              </w:rPr>
              <w:t>§ 13.248 AND TO AMEND CERTIFICATES OF CONVENIENCE AND NECESSITY IN KAUFMAN COUNTY</w:t>
            </w:r>
          </w:p>
        </w:tc>
        <w:tc>
          <w:tcPr>
            <w:tcW w:w="450" w:type="dxa"/>
          </w:tcPr>
          <w:p w14:paraId="4113CA01" w14:textId="77777777" w:rsidR="00AF3657" w:rsidRPr="00CD1C62" w:rsidRDefault="00AF3657" w:rsidP="007717F6">
            <w:pPr>
              <w:rPr>
                <w:b/>
                <w:szCs w:val="24"/>
              </w:rPr>
            </w:pPr>
            <w:r w:rsidRPr="00CD1C62">
              <w:rPr>
                <w:b/>
                <w:szCs w:val="24"/>
              </w:rPr>
              <w:t>§</w:t>
            </w:r>
          </w:p>
          <w:p w14:paraId="2F396188" w14:textId="77777777" w:rsidR="00AF3657" w:rsidRPr="00CD1C62" w:rsidRDefault="00AF3657" w:rsidP="007717F6">
            <w:pPr>
              <w:rPr>
                <w:b/>
                <w:szCs w:val="24"/>
              </w:rPr>
            </w:pPr>
            <w:r w:rsidRPr="00CD1C62">
              <w:rPr>
                <w:b/>
                <w:szCs w:val="24"/>
              </w:rPr>
              <w:t>§</w:t>
            </w:r>
          </w:p>
          <w:p w14:paraId="475F57BA" w14:textId="77777777" w:rsidR="00AF3657" w:rsidRPr="00CD1C62" w:rsidRDefault="00AF3657" w:rsidP="007717F6">
            <w:pPr>
              <w:rPr>
                <w:b/>
                <w:szCs w:val="24"/>
              </w:rPr>
            </w:pPr>
            <w:r w:rsidRPr="00CD1C62">
              <w:rPr>
                <w:b/>
                <w:szCs w:val="24"/>
              </w:rPr>
              <w:t>§</w:t>
            </w:r>
          </w:p>
          <w:p w14:paraId="2FB552B0" w14:textId="77777777" w:rsidR="00AF3657" w:rsidRPr="00CD1C62" w:rsidRDefault="00AF3657" w:rsidP="007717F6">
            <w:pPr>
              <w:rPr>
                <w:b/>
                <w:szCs w:val="24"/>
              </w:rPr>
            </w:pPr>
            <w:r w:rsidRPr="00CD1C62">
              <w:rPr>
                <w:b/>
                <w:szCs w:val="24"/>
              </w:rPr>
              <w:t>§</w:t>
            </w:r>
          </w:p>
          <w:p w14:paraId="51C33541" w14:textId="77777777" w:rsidR="00BC3357" w:rsidRPr="00CD1C62" w:rsidRDefault="00BC3357" w:rsidP="00BC3357">
            <w:pPr>
              <w:rPr>
                <w:b/>
                <w:szCs w:val="24"/>
              </w:rPr>
            </w:pPr>
            <w:r w:rsidRPr="00CD1C62">
              <w:rPr>
                <w:b/>
                <w:szCs w:val="24"/>
              </w:rPr>
              <w:t>§</w:t>
            </w:r>
          </w:p>
          <w:p w14:paraId="48DEEAF6" w14:textId="77777777" w:rsidR="00BC3357" w:rsidRPr="00CD1C62" w:rsidRDefault="00BC3357" w:rsidP="00BC3357">
            <w:pPr>
              <w:rPr>
                <w:b/>
                <w:szCs w:val="24"/>
              </w:rPr>
            </w:pPr>
            <w:r w:rsidRPr="00CD1C62">
              <w:rPr>
                <w:b/>
                <w:szCs w:val="24"/>
              </w:rPr>
              <w:t>§</w:t>
            </w:r>
          </w:p>
          <w:p w14:paraId="2AE8ABDF" w14:textId="77777777" w:rsidR="00BC3357" w:rsidRPr="00CD1C62" w:rsidRDefault="00BC3357" w:rsidP="00BC3357">
            <w:pPr>
              <w:rPr>
                <w:b/>
                <w:szCs w:val="24"/>
              </w:rPr>
            </w:pPr>
            <w:r w:rsidRPr="00CD1C62">
              <w:rPr>
                <w:b/>
                <w:szCs w:val="24"/>
              </w:rPr>
              <w:t>§</w:t>
            </w:r>
          </w:p>
          <w:p w14:paraId="3B164EF2" w14:textId="77777777" w:rsidR="00BC3357" w:rsidRPr="00CD1C62" w:rsidRDefault="00BC3357" w:rsidP="00BC3357">
            <w:pPr>
              <w:rPr>
                <w:b/>
                <w:szCs w:val="24"/>
              </w:rPr>
            </w:pPr>
            <w:r w:rsidRPr="00CD1C62">
              <w:rPr>
                <w:b/>
                <w:szCs w:val="24"/>
              </w:rPr>
              <w:t>§</w:t>
            </w:r>
          </w:p>
          <w:p w14:paraId="61DF77F3" w14:textId="77777777" w:rsidR="00BC3357" w:rsidRPr="00CD1C62" w:rsidRDefault="00BC3357" w:rsidP="00BC3357">
            <w:pPr>
              <w:rPr>
                <w:b/>
                <w:szCs w:val="24"/>
              </w:rPr>
            </w:pPr>
            <w:r w:rsidRPr="00CD1C62">
              <w:rPr>
                <w:b/>
                <w:szCs w:val="24"/>
              </w:rPr>
              <w:t>§</w:t>
            </w:r>
          </w:p>
          <w:p w14:paraId="2159B4FD" w14:textId="6755CEC8" w:rsidR="00AF3657" w:rsidRPr="00CD1C62" w:rsidRDefault="00AF3657" w:rsidP="007717F6">
            <w:pPr>
              <w:rPr>
                <w:b/>
                <w:szCs w:val="24"/>
              </w:rPr>
            </w:pPr>
          </w:p>
        </w:tc>
        <w:tc>
          <w:tcPr>
            <w:tcW w:w="4145" w:type="dxa"/>
          </w:tcPr>
          <w:p w14:paraId="72E2B878" w14:textId="77777777" w:rsidR="005F4F7A" w:rsidRPr="00CD1C62" w:rsidRDefault="00BC3357" w:rsidP="00D75599">
            <w:pPr>
              <w:pStyle w:val="Docketstyle"/>
              <w:spacing w:line="240" w:lineRule="auto"/>
              <w:jc w:val="center"/>
              <w:rPr>
                <w:bCs/>
                <w:szCs w:val="24"/>
              </w:rPr>
            </w:pPr>
            <w:r w:rsidRPr="00CD1C62">
              <w:rPr>
                <w:bCs/>
                <w:szCs w:val="24"/>
              </w:rPr>
              <w:t xml:space="preserve">PUBLIC UTILITY COMMISSION </w:t>
            </w:r>
          </w:p>
          <w:p w14:paraId="69C5EAAB" w14:textId="77777777" w:rsidR="00BC3357" w:rsidRPr="00CD1C62" w:rsidRDefault="00BC3357" w:rsidP="00D75599">
            <w:pPr>
              <w:pStyle w:val="Docketstyle"/>
              <w:spacing w:line="240" w:lineRule="auto"/>
              <w:jc w:val="center"/>
              <w:rPr>
                <w:bCs/>
                <w:szCs w:val="24"/>
              </w:rPr>
            </w:pPr>
          </w:p>
          <w:p w14:paraId="20CD52F3" w14:textId="7100CC6C" w:rsidR="00BC3357" w:rsidRPr="00CD1C62" w:rsidRDefault="00BC3357" w:rsidP="00D75599">
            <w:pPr>
              <w:pStyle w:val="Docketstyle"/>
              <w:spacing w:line="240" w:lineRule="auto"/>
              <w:jc w:val="center"/>
              <w:rPr>
                <w:bCs/>
                <w:szCs w:val="24"/>
              </w:rPr>
            </w:pPr>
            <w:r w:rsidRPr="00CD1C62">
              <w:rPr>
                <w:bCs/>
                <w:szCs w:val="24"/>
              </w:rPr>
              <w:t>OF TEXAS</w:t>
            </w:r>
          </w:p>
        </w:tc>
      </w:tr>
    </w:tbl>
    <w:p w14:paraId="3B4A8503" w14:textId="2DA09402" w:rsidR="00AF3657" w:rsidRPr="00CD1C62" w:rsidRDefault="00F61AD5" w:rsidP="00E66B82">
      <w:pPr>
        <w:pStyle w:val="Documentheading"/>
        <w:rPr>
          <w:sz w:val="24"/>
          <w:szCs w:val="24"/>
        </w:rPr>
      </w:pPr>
      <w:r w:rsidRPr="00CD1C62">
        <w:rPr>
          <w:sz w:val="24"/>
          <w:szCs w:val="24"/>
        </w:rPr>
        <w:t xml:space="preserve">Commission staff’s </w:t>
      </w:r>
      <w:r w:rsidR="00750EC0" w:rsidRPr="00CD1C62">
        <w:rPr>
          <w:sz w:val="24"/>
          <w:szCs w:val="24"/>
        </w:rPr>
        <w:t>RESPONSE TO ORDER NO. 2</w:t>
      </w:r>
    </w:p>
    <w:p w14:paraId="54B7283B" w14:textId="77777777" w:rsidR="000264C3" w:rsidRPr="00CD1C62" w:rsidRDefault="000264C3" w:rsidP="00750EC0"/>
    <w:p w14:paraId="33C7333B" w14:textId="40423CF2" w:rsidR="003744AE" w:rsidRPr="00CD1C62" w:rsidRDefault="003744AE" w:rsidP="009D694B">
      <w:pPr>
        <w:pStyle w:val="Heading4"/>
        <w:spacing w:after="0" w:line="360" w:lineRule="auto"/>
        <w:ind w:left="0" w:firstLine="720"/>
        <w:jc w:val="both"/>
        <w:rPr>
          <w:b w:val="0"/>
          <w:sz w:val="24"/>
          <w:szCs w:val="24"/>
        </w:rPr>
      </w:pPr>
      <w:r w:rsidRPr="00CD1C62">
        <w:rPr>
          <w:sz w:val="24"/>
          <w:szCs w:val="24"/>
        </w:rPr>
        <w:t>COMES NOW</w:t>
      </w:r>
      <w:r w:rsidRPr="00CD1C62">
        <w:rPr>
          <w:b w:val="0"/>
          <w:sz w:val="24"/>
          <w:szCs w:val="24"/>
        </w:rPr>
        <w:t xml:space="preserve"> the Staff</w:t>
      </w:r>
      <w:r w:rsidR="00750EC0" w:rsidRPr="00CD1C62">
        <w:rPr>
          <w:b w:val="0"/>
          <w:sz w:val="24"/>
          <w:szCs w:val="24"/>
        </w:rPr>
        <w:t xml:space="preserve"> (Staff)</w:t>
      </w:r>
      <w:r w:rsidRPr="00CD1C62">
        <w:rPr>
          <w:b w:val="0"/>
          <w:sz w:val="24"/>
          <w:szCs w:val="24"/>
        </w:rPr>
        <w:t xml:space="preserve"> of the Public Utility Commission of Texas (</w:t>
      </w:r>
      <w:r w:rsidR="00750EC0" w:rsidRPr="00CD1C62">
        <w:rPr>
          <w:b w:val="0"/>
          <w:sz w:val="24"/>
          <w:szCs w:val="24"/>
        </w:rPr>
        <w:t>Commission</w:t>
      </w:r>
      <w:r w:rsidRPr="00CD1C62">
        <w:rPr>
          <w:b w:val="0"/>
          <w:sz w:val="24"/>
          <w:szCs w:val="24"/>
        </w:rPr>
        <w:t>), representing the public interest</w:t>
      </w:r>
      <w:r w:rsidR="00E54203" w:rsidRPr="00CD1C62">
        <w:rPr>
          <w:b w:val="0"/>
          <w:sz w:val="24"/>
          <w:szCs w:val="24"/>
        </w:rPr>
        <w:t>,</w:t>
      </w:r>
      <w:r w:rsidRPr="00CD1C62">
        <w:rPr>
          <w:b w:val="0"/>
          <w:sz w:val="24"/>
          <w:szCs w:val="24"/>
        </w:rPr>
        <w:t xml:space="preserve"> and files this</w:t>
      </w:r>
      <w:r w:rsidR="00E66B82" w:rsidRPr="00CD1C62">
        <w:rPr>
          <w:b w:val="0"/>
          <w:sz w:val="24"/>
          <w:szCs w:val="24"/>
        </w:rPr>
        <w:t xml:space="preserve"> </w:t>
      </w:r>
      <w:r w:rsidR="00750EC0" w:rsidRPr="00CD1C62">
        <w:rPr>
          <w:b w:val="0"/>
          <w:sz w:val="24"/>
          <w:szCs w:val="24"/>
        </w:rPr>
        <w:t xml:space="preserve">Response to Order No. 2.  </w:t>
      </w:r>
      <w:r w:rsidR="00E66B82" w:rsidRPr="00CD1C62">
        <w:rPr>
          <w:b w:val="0"/>
          <w:sz w:val="24"/>
          <w:szCs w:val="24"/>
        </w:rPr>
        <w:t xml:space="preserve">In support thereof, Staff </w:t>
      </w:r>
      <w:r w:rsidRPr="00CD1C62">
        <w:rPr>
          <w:b w:val="0"/>
          <w:sz w:val="24"/>
          <w:szCs w:val="24"/>
        </w:rPr>
        <w:t>show</w:t>
      </w:r>
      <w:r w:rsidR="008821D9" w:rsidRPr="00CD1C62">
        <w:rPr>
          <w:b w:val="0"/>
          <w:sz w:val="24"/>
          <w:szCs w:val="24"/>
        </w:rPr>
        <w:t>s</w:t>
      </w:r>
      <w:r w:rsidRPr="00CD1C62">
        <w:rPr>
          <w:b w:val="0"/>
          <w:sz w:val="24"/>
          <w:szCs w:val="24"/>
        </w:rPr>
        <w:t xml:space="preserve"> the following:</w:t>
      </w:r>
    </w:p>
    <w:p w14:paraId="64E5E281" w14:textId="77777777" w:rsidR="00363E46" w:rsidRPr="000D17E4" w:rsidRDefault="00363E46" w:rsidP="00363E46">
      <w:pPr>
        <w:pStyle w:val="ListParagraph"/>
        <w:spacing w:line="360" w:lineRule="auto"/>
        <w:ind w:left="1080"/>
        <w:rPr>
          <w:b/>
          <w:bCs/>
          <w:szCs w:val="24"/>
        </w:rPr>
      </w:pPr>
    </w:p>
    <w:p w14:paraId="39E89FAB" w14:textId="145390C7" w:rsidR="00F61AD5" w:rsidRPr="000D17E4" w:rsidRDefault="009A7C7B" w:rsidP="009D694B">
      <w:pPr>
        <w:pStyle w:val="ListParagraph"/>
        <w:numPr>
          <w:ilvl w:val="0"/>
          <w:numId w:val="10"/>
        </w:numPr>
        <w:spacing w:line="360" w:lineRule="auto"/>
        <w:jc w:val="center"/>
        <w:rPr>
          <w:b/>
          <w:bCs/>
          <w:szCs w:val="24"/>
        </w:rPr>
      </w:pPr>
      <w:r w:rsidRPr="000D17E4">
        <w:rPr>
          <w:b/>
          <w:bCs/>
          <w:szCs w:val="24"/>
        </w:rPr>
        <w:t>BACKGROUND</w:t>
      </w:r>
    </w:p>
    <w:p w14:paraId="2E7141FF" w14:textId="474A88B1" w:rsidR="009664C8" w:rsidRPr="000D17E4" w:rsidRDefault="00071700" w:rsidP="009D694B">
      <w:pPr>
        <w:spacing w:line="360" w:lineRule="auto"/>
        <w:ind w:firstLine="720"/>
        <w:rPr>
          <w:szCs w:val="24"/>
        </w:rPr>
      </w:pPr>
      <w:r w:rsidRPr="000D17E4">
        <w:rPr>
          <w:szCs w:val="24"/>
        </w:rPr>
        <w:t xml:space="preserve">On </w:t>
      </w:r>
      <w:r w:rsidR="005F1771" w:rsidRPr="000D17E4">
        <w:rPr>
          <w:szCs w:val="24"/>
        </w:rPr>
        <w:t xml:space="preserve">June </w:t>
      </w:r>
      <w:r w:rsidR="00661D58" w:rsidRPr="000D17E4">
        <w:rPr>
          <w:szCs w:val="24"/>
        </w:rPr>
        <w:t>15</w:t>
      </w:r>
      <w:r w:rsidR="005F1771" w:rsidRPr="000D17E4">
        <w:rPr>
          <w:szCs w:val="24"/>
        </w:rPr>
        <w:t>, 2020,</w:t>
      </w:r>
      <w:r w:rsidRPr="000D17E4">
        <w:rPr>
          <w:szCs w:val="24"/>
        </w:rPr>
        <w:t xml:space="preserve"> </w:t>
      </w:r>
      <w:r w:rsidR="00ED4E24" w:rsidRPr="000D17E4">
        <w:rPr>
          <w:szCs w:val="24"/>
        </w:rPr>
        <w:t xml:space="preserve">the City of </w:t>
      </w:r>
      <w:r w:rsidR="009664C8" w:rsidRPr="000D17E4">
        <w:rPr>
          <w:szCs w:val="24"/>
        </w:rPr>
        <w:t>Mesquite</w:t>
      </w:r>
      <w:r w:rsidR="00ED4E24" w:rsidRPr="000D17E4">
        <w:rPr>
          <w:szCs w:val="24"/>
        </w:rPr>
        <w:t xml:space="preserve"> (</w:t>
      </w:r>
      <w:r w:rsidR="009664C8" w:rsidRPr="000D17E4">
        <w:rPr>
          <w:szCs w:val="24"/>
        </w:rPr>
        <w:t>Mesquite</w:t>
      </w:r>
      <w:r w:rsidR="00ED4E24" w:rsidRPr="000D17E4">
        <w:rPr>
          <w:szCs w:val="24"/>
        </w:rPr>
        <w:t>)</w:t>
      </w:r>
      <w:r w:rsidR="009664C8" w:rsidRPr="000D17E4">
        <w:rPr>
          <w:szCs w:val="24"/>
        </w:rPr>
        <w:t xml:space="preserve"> and </w:t>
      </w:r>
      <w:proofErr w:type="spellStart"/>
      <w:r w:rsidR="009664C8" w:rsidRPr="000D17E4">
        <w:rPr>
          <w:szCs w:val="24"/>
        </w:rPr>
        <w:t>Talty</w:t>
      </w:r>
      <w:proofErr w:type="spellEnd"/>
      <w:r w:rsidR="009664C8" w:rsidRPr="000D17E4">
        <w:rPr>
          <w:szCs w:val="24"/>
        </w:rPr>
        <w:t xml:space="preserve"> Special Utility District (</w:t>
      </w:r>
      <w:proofErr w:type="spellStart"/>
      <w:r w:rsidR="009664C8" w:rsidRPr="000D17E4">
        <w:rPr>
          <w:szCs w:val="24"/>
        </w:rPr>
        <w:t>Talty</w:t>
      </w:r>
      <w:proofErr w:type="spellEnd"/>
      <w:r w:rsidR="000D0E44" w:rsidRPr="000D17E4">
        <w:rPr>
          <w:szCs w:val="24"/>
        </w:rPr>
        <w:t xml:space="preserve"> SUD</w:t>
      </w:r>
      <w:r w:rsidR="009664C8" w:rsidRPr="000D17E4">
        <w:rPr>
          <w:szCs w:val="24"/>
        </w:rPr>
        <w:t xml:space="preserve">) (collectively, </w:t>
      </w:r>
      <w:r w:rsidR="000F284D" w:rsidRPr="000D17E4">
        <w:rPr>
          <w:szCs w:val="24"/>
        </w:rPr>
        <w:t>Applicants</w:t>
      </w:r>
      <w:r w:rsidR="009664C8" w:rsidRPr="000D17E4">
        <w:rPr>
          <w:szCs w:val="24"/>
        </w:rPr>
        <w:t>)</w:t>
      </w:r>
      <w:r w:rsidRPr="000D17E4">
        <w:rPr>
          <w:szCs w:val="24"/>
        </w:rPr>
        <w:t xml:space="preserve"> filed an application</w:t>
      </w:r>
      <w:r w:rsidR="009664C8" w:rsidRPr="000D17E4">
        <w:rPr>
          <w:szCs w:val="24"/>
        </w:rPr>
        <w:t xml:space="preserve"> for approval of a service area contract under Texas Water Code </w:t>
      </w:r>
      <w:r w:rsidR="00042650">
        <w:rPr>
          <w:szCs w:val="24"/>
        </w:rPr>
        <w:t xml:space="preserve">(TWC) </w:t>
      </w:r>
      <w:bookmarkStart w:id="1" w:name="_Hlk48636500"/>
      <w:r w:rsidR="009664C8" w:rsidRPr="000D17E4">
        <w:rPr>
          <w:szCs w:val="24"/>
        </w:rPr>
        <w:t>§</w:t>
      </w:r>
      <w:bookmarkEnd w:id="1"/>
      <w:r w:rsidR="009664C8" w:rsidRPr="000D17E4">
        <w:rPr>
          <w:szCs w:val="24"/>
        </w:rPr>
        <w:t xml:space="preserve"> 13.248</w:t>
      </w:r>
      <w:r w:rsidR="000D0E44" w:rsidRPr="000D17E4">
        <w:rPr>
          <w:szCs w:val="24"/>
        </w:rPr>
        <w:t xml:space="preserve"> and</w:t>
      </w:r>
      <w:r w:rsidR="009664C8" w:rsidRPr="000D17E4">
        <w:rPr>
          <w:szCs w:val="24"/>
        </w:rPr>
        <w:t xml:space="preserve"> to amend </w:t>
      </w:r>
      <w:r w:rsidR="00E80CCC" w:rsidRPr="000D17E4">
        <w:rPr>
          <w:szCs w:val="24"/>
        </w:rPr>
        <w:t>water C</w:t>
      </w:r>
      <w:r w:rsidR="009664C8" w:rsidRPr="000D17E4">
        <w:rPr>
          <w:szCs w:val="24"/>
        </w:rPr>
        <w:t>ertificate</w:t>
      </w:r>
      <w:r w:rsidR="00E80CCC" w:rsidRPr="000D17E4">
        <w:rPr>
          <w:szCs w:val="24"/>
        </w:rPr>
        <w:t>s</w:t>
      </w:r>
      <w:r w:rsidR="009664C8" w:rsidRPr="000D17E4">
        <w:rPr>
          <w:szCs w:val="24"/>
        </w:rPr>
        <w:t xml:space="preserve"> of </w:t>
      </w:r>
      <w:r w:rsidR="00E80CCC" w:rsidRPr="000D17E4">
        <w:rPr>
          <w:szCs w:val="24"/>
        </w:rPr>
        <w:t>C</w:t>
      </w:r>
      <w:r w:rsidR="009664C8" w:rsidRPr="000D17E4">
        <w:rPr>
          <w:szCs w:val="24"/>
        </w:rPr>
        <w:t xml:space="preserve">onvenience and </w:t>
      </w:r>
      <w:r w:rsidR="00E80CCC" w:rsidRPr="000D17E4">
        <w:rPr>
          <w:szCs w:val="24"/>
        </w:rPr>
        <w:t>N</w:t>
      </w:r>
      <w:r w:rsidR="009664C8" w:rsidRPr="000D17E4">
        <w:rPr>
          <w:szCs w:val="24"/>
        </w:rPr>
        <w:t>ecessity (CCN</w:t>
      </w:r>
      <w:r w:rsidR="00CF2F91">
        <w:rPr>
          <w:szCs w:val="24"/>
        </w:rPr>
        <w:t>s</w:t>
      </w:r>
      <w:r w:rsidR="009664C8" w:rsidRPr="000D17E4">
        <w:rPr>
          <w:szCs w:val="24"/>
        </w:rPr>
        <w:t>)</w:t>
      </w:r>
      <w:r w:rsidR="00E80CCC" w:rsidRPr="000D17E4">
        <w:rPr>
          <w:szCs w:val="24"/>
        </w:rPr>
        <w:t xml:space="preserve"> </w:t>
      </w:r>
      <w:r w:rsidR="009664C8" w:rsidRPr="000D17E4">
        <w:rPr>
          <w:szCs w:val="24"/>
        </w:rPr>
        <w:t xml:space="preserve">in Kaufman County. The requested </w:t>
      </w:r>
      <w:r w:rsidR="00012E59" w:rsidRPr="000D17E4">
        <w:rPr>
          <w:szCs w:val="24"/>
        </w:rPr>
        <w:t xml:space="preserve">area totals approximately 6,180 feet in Kaufman County (2,700 feet along FM 741, 670 feet along Dozier Circle, and 2,810 feet along High Country Lane) and contains connections to 23 customers. </w:t>
      </w:r>
    </w:p>
    <w:p w14:paraId="0A712233" w14:textId="4DB7C37F" w:rsidR="00E62B5D" w:rsidRDefault="00E62B5D" w:rsidP="009D694B">
      <w:pPr>
        <w:spacing w:line="360" w:lineRule="auto"/>
        <w:ind w:firstLine="720"/>
      </w:pPr>
      <w:r>
        <w:t xml:space="preserve">On July 15, 2020, in response to Order No. 1, Staff </w:t>
      </w:r>
      <w:r w:rsidR="00D02CA3">
        <w:t>fil</w:t>
      </w:r>
      <w:r>
        <w:t xml:space="preserve">ed its Recommendation on Administrative Completeness, Notice, and Proposed Procedural Schedule. Staff recommended </w:t>
      </w:r>
      <w:r w:rsidR="00D02CA3">
        <w:t xml:space="preserve">that </w:t>
      </w:r>
      <w:r>
        <w:t>Applicants be ordered to file a S</w:t>
      </w:r>
      <w:r w:rsidR="00D02CA3">
        <w:t xml:space="preserve">ale </w:t>
      </w:r>
      <w:r>
        <w:t>T</w:t>
      </w:r>
      <w:r w:rsidR="00D02CA3">
        <w:t xml:space="preserve">ransfer </w:t>
      </w:r>
      <w:r>
        <w:t>M</w:t>
      </w:r>
      <w:r w:rsidR="00D02CA3">
        <w:t>erger (STM)</w:t>
      </w:r>
      <w:r>
        <w:t xml:space="preserve"> application on the basis </w:t>
      </w:r>
      <w:r w:rsidR="00C151D1">
        <w:t xml:space="preserve">that the </w:t>
      </w:r>
      <w:r w:rsidR="00D02CA3">
        <w:t xml:space="preserve">service area </w:t>
      </w:r>
      <w:r w:rsidR="00C151D1">
        <w:t xml:space="preserve">agreement </w:t>
      </w:r>
      <w:r w:rsidR="00D02CA3">
        <w:t xml:space="preserve">executed by Applicants </w:t>
      </w:r>
      <w:r w:rsidR="00C151D1">
        <w:t>include</w:t>
      </w:r>
      <w:r w:rsidR="00D02CA3">
        <w:t>s</w:t>
      </w:r>
      <w:r w:rsidR="00C151D1">
        <w:t xml:space="preserve"> the transfer of assets and/or facilities, namely the transfer of portions of water lines located along FM 741, Dozier Circle, and High Country Lane from </w:t>
      </w:r>
      <w:proofErr w:type="spellStart"/>
      <w:r w:rsidR="00C151D1">
        <w:t>Talty</w:t>
      </w:r>
      <w:proofErr w:type="spellEnd"/>
      <w:r w:rsidR="00C151D1">
        <w:t xml:space="preserve"> SUD to Mesquite.</w:t>
      </w:r>
    </w:p>
    <w:p w14:paraId="44C895F0" w14:textId="6DD78416" w:rsidR="00C151D1" w:rsidRDefault="00C151D1" w:rsidP="009D694B">
      <w:pPr>
        <w:spacing w:line="360" w:lineRule="auto"/>
        <w:ind w:firstLine="720"/>
      </w:pPr>
      <w:r>
        <w:t>On July 17, 2020, Mesquite filed its Response to Commission Staff’s Recommendation on Administrative Completeness,</w:t>
      </w:r>
      <w:r w:rsidR="00CF2F91">
        <w:t xml:space="preserve"> Notice,</w:t>
      </w:r>
      <w:r>
        <w:t xml:space="preserve"> and Proposed Procedural Schedule</w:t>
      </w:r>
      <w:r w:rsidR="00EF0D53">
        <w:t xml:space="preserve"> (Response).</w:t>
      </w:r>
    </w:p>
    <w:p w14:paraId="7ECAEAF5" w14:textId="1DD3CEC8" w:rsidR="0075253F" w:rsidRPr="00D02CA3" w:rsidRDefault="00AB232E" w:rsidP="009D694B">
      <w:pPr>
        <w:spacing w:line="360" w:lineRule="auto"/>
        <w:ind w:firstLine="720"/>
      </w:pPr>
      <w:r w:rsidRPr="000D17E4">
        <w:t xml:space="preserve">On </w:t>
      </w:r>
      <w:r w:rsidR="00C151D1">
        <w:t>August 5,</w:t>
      </w:r>
      <w:r w:rsidRPr="000D17E4">
        <w:t xml:space="preserve"> 2020, </w:t>
      </w:r>
      <w:r w:rsidR="00C151D1">
        <w:t xml:space="preserve">the Administrative Law Judge (ALJ) issued </w:t>
      </w:r>
      <w:r w:rsidRPr="000D17E4">
        <w:t xml:space="preserve">Order No. </w:t>
      </w:r>
      <w:r w:rsidR="00C151D1">
        <w:t>2 requiring Staff to file a reply to the legal arguments raised in Mesquite’s July 17, 2020 response by August 21, 2020. Therefore, this pleading is timely filed.</w:t>
      </w:r>
      <w:r w:rsidRPr="000D17E4">
        <w:t xml:space="preserve"> </w:t>
      </w:r>
    </w:p>
    <w:p w14:paraId="5CE81AE9" w14:textId="3840EED8" w:rsidR="009A7C7B" w:rsidRPr="000D17E4" w:rsidRDefault="00561B98" w:rsidP="009D694B">
      <w:pPr>
        <w:pStyle w:val="ListParagraph"/>
        <w:numPr>
          <w:ilvl w:val="0"/>
          <w:numId w:val="10"/>
        </w:numPr>
        <w:spacing w:line="360" w:lineRule="auto"/>
        <w:jc w:val="center"/>
        <w:rPr>
          <w:b/>
          <w:bCs/>
          <w:szCs w:val="24"/>
        </w:rPr>
      </w:pPr>
      <w:r>
        <w:rPr>
          <w:b/>
          <w:bCs/>
          <w:szCs w:val="24"/>
        </w:rPr>
        <w:lastRenderedPageBreak/>
        <w:t>STAFF’S RESPONSE</w:t>
      </w:r>
    </w:p>
    <w:p w14:paraId="3C7B079A" w14:textId="5643A59B" w:rsidR="00641387" w:rsidRPr="00641387" w:rsidRDefault="00CF2F91" w:rsidP="00641387">
      <w:pPr>
        <w:spacing w:line="360" w:lineRule="auto"/>
        <w:ind w:firstLine="720"/>
        <w:rPr>
          <w:szCs w:val="24"/>
        </w:rPr>
      </w:pPr>
      <w:r>
        <w:rPr>
          <w:szCs w:val="24"/>
        </w:rPr>
        <w:t xml:space="preserve">Applicants filed their </w:t>
      </w:r>
      <w:r w:rsidR="00641387" w:rsidRPr="00641387">
        <w:rPr>
          <w:szCs w:val="24"/>
        </w:rPr>
        <w:t xml:space="preserve">June 15, 2020 application with the Commission under TWC </w:t>
      </w:r>
      <w:r w:rsidRPr="000D17E4">
        <w:rPr>
          <w:szCs w:val="24"/>
        </w:rPr>
        <w:t>§</w:t>
      </w:r>
      <w:r w:rsidR="00641387" w:rsidRPr="00641387">
        <w:rPr>
          <w:szCs w:val="24"/>
        </w:rPr>
        <w:t xml:space="preserve"> 13.248 for approval of the transfer of designated service areas, customers to be served, and portions of water lines, among other assets, between the parties. At issue is the transfer of a quantity of </w:t>
      </w:r>
      <w:r w:rsidRPr="00641387">
        <w:rPr>
          <w:szCs w:val="24"/>
        </w:rPr>
        <w:t>six-inch</w:t>
      </w:r>
      <w:r w:rsidR="00641387" w:rsidRPr="00641387">
        <w:rPr>
          <w:szCs w:val="24"/>
        </w:rPr>
        <w:t xml:space="preserve"> water line, and all taps, meters, and valves along that water line (Facilities). Staff</w:t>
      </w:r>
      <w:r w:rsidR="00D02CA3">
        <w:rPr>
          <w:szCs w:val="24"/>
        </w:rPr>
        <w:t xml:space="preserve"> asserts</w:t>
      </w:r>
      <w:r w:rsidR="00641387" w:rsidRPr="00641387">
        <w:rPr>
          <w:szCs w:val="24"/>
        </w:rPr>
        <w:t xml:space="preserve"> that the contemplated transfer of these Facilities runs counter to the stated requirements of TWC </w:t>
      </w:r>
      <w:r w:rsidR="00641387" w:rsidRPr="00641387">
        <w:rPr>
          <w:color w:val="222222"/>
          <w:szCs w:val="24"/>
          <w:shd w:val="clear" w:color="auto" w:fill="FFFFFF"/>
        </w:rPr>
        <w:t xml:space="preserve">§ </w:t>
      </w:r>
      <w:r w:rsidR="00641387" w:rsidRPr="00641387">
        <w:rPr>
          <w:szCs w:val="24"/>
        </w:rPr>
        <w:t xml:space="preserve">13.248. In order to allow the Commission to </w:t>
      </w:r>
      <w:r>
        <w:rPr>
          <w:szCs w:val="24"/>
        </w:rPr>
        <w:t>perform</w:t>
      </w:r>
      <w:r w:rsidR="00641387" w:rsidRPr="00641387">
        <w:rPr>
          <w:szCs w:val="24"/>
        </w:rPr>
        <w:t xml:space="preserve"> </w:t>
      </w:r>
      <w:r>
        <w:rPr>
          <w:szCs w:val="24"/>
        </w:rPr>
        <w:t xml:space="preserve">a </w:t>
      </w:r>
      <w:r w:rsidR="00641387" w:rsidRPr="00641387">
        <w:rPr>
          <w:szCs w:val="24"/>
        </w:rPr>
        <w:t>thorough and complete evaluation of the terms of the agreement, Staff believes it to be in the public interest to require the Applicants to file an application for a</w:t>
      </w:r>
      <w:r w:rsidR="00086404">
        <w:rPr>
          <w:szCs w:val="24"/>
        </w:rPr>
        <w:t>n</w:t>
      </w:r>
      <w:r w:rsidR="00641387" w:rsidRPr="00641387">
        <w:rPr>
          <w:szCs w:val="24"/>
        </w:rPr>
        <w:t xml:space="preserve"> STM under TWC </w:t>
      </w:r>
      <w:r w:rsidR="00641387" w:rsidRPr="00641387">
        <w:rPr>
          <w:color w:val="222222"/>
          <w:szCs w:val="24"/>
          <w:shd w:val="clear" w:color="auto" w:fill="FFFFFF"/>
        </w:rPr>
        <w:t>§</w:t>
      </w:r>
      <w:r w:rsidR="00641387" w:rsidRPr="00641387">
        <w:rPr>
          <w:szCs w:val="24"/>
        </w:rPr>
        <w:t xml:space="preserve"> 13.301. </w:t>
      </w:r>
    </w:p>
    <w:p w14:paraId="56DF70C4" w14:textId="62EF24BA" w:rsidR="00641387" w:rsidRPr="00641387" w:rsidRDefault="00641387" w:rsidP="00641387">
      <w:pPr>
        <w:spacing w:line="360" w:lineRule="auto"/>
        <w:ind w:firstLine="720"/>
        <w:rPr>
          <w:color w:val="222222"/>
          <w:szCs w:val="24"/>
          <w:shd w:val="clear" w:color="auto" w:fill="FFFFFF"/>
        </w:rPr>
      </w:pPr>
      <w:r w:rsidRPr="00641387">
        <w:rPr>
          <w:szCs w:val="24"/>
        </w:rPr>
        <w:t xml:space="preserve">TWC </w:t>
      </w:r>
      <w:r w:rsidRPr="00641387">
        <w:rPr>
          <w:color w:val="222222"/>
          <w:szCs w:val="24"/>
          <w:shd w:val="clear" w:color="auto" w:fill="FFFFFF"/>
        </w:rPr>
        <w:t>§ 13.248 provides that “[c]</w:t>
      </w:r>
      <w:proofErr w:type="spellStart"/>
      <w:r w:rsidRPr="00641387">
        <w:rPr>
          <w:color w:val="222222"/>
          <w:szCs w:val="24"/>
          <w:shd w:val="clear" w:color="auto" w:fill="FFFFFF"/>
        </w:rPr>
        <w:t>ontracts</w:t>
      </w:r>
      <w:proofErr w:type="spellEnd"/>
      <w:r w:rsidRPr="00641387">
        <w:rPr>
          <w:color w:val="222222"/>
          <w:szCs w:val="24"/>
          <w:shd w:val="clear" w:color="auto" w:fill="FFFFFF"/>
        </w:rPr>
        <w:t xml:space="preserve"> between retail public utilities </w:t>
      </w:r>
      <w:r w:rsidRPr="00CF2F91">
        <w:rPr>
          <w:i/>
          <w:iCs/>
          <w:color w:val="222222"/>
          <w:szCs w:val="24"/>
          <w:shd w:val="clear" w:color="auto" w:fill="FFFFFF"/>
        </w:rPr>
        <w:t>designating areas to be served and customers to be served</w:t>
      </w:r>
      <w:r w:rsidRPr="00641387">
        <w:rPr>
          <w:color w:val="222222"/>
          <w:szCs w:val="24"/>
          <w:shd w:val="clear" w:color="auto" w:fill="FFFFFF"/>
        </w:rPr>
        <w:t>…are valid and enforceable and are incorporated into the appropriate areas of public convenience and necessity.”</w:t>
      </w:r>
      <w:r w:rsidR="00CF2F91">
        <w:rPr>
          <w:rStyle w:val="FootnoteReference"/>
          <w:color w:val="222222"/>
          <w:szCs w:val="24"/>
          <w:shd w:val="clear" w:color="auto" w:fill="FFFFFF"/>
        </w:rPr>
        <w:footnoteReference w:id="1"/>
      </w:r>
      <w:r w:rsidRPr="00641387">
        <w:rPr>
          <w:color w:val="222222"/>
          <w:szCs w:val="24"/>
          <w:shd w:val="clear" w:color="auto" w:fill="FFFFFF"/>
        </w:rPr>
        <w:t xml:space="preserve"> </w:t>
      </w:r>
      <w:r w:rsidR="00EF0D53">
        <w:rPr>
          <w:color w:val="222222"/>
          <w:szCs w:val="24"/>
          <w:shd w:val="clear" w:color="auto" w:fill="FFFFFF"/>
        </w:rPr>
        <w:t xml:space="preserve"> </w:t>
      </w:r>
      <w:r w:rsidR="00CF2F91">
        <w:rPr>
          <w:color w:val="222222"/>
          <w:szCs w:val="24"/>
          <w:shd w:val="clear" w:color="auto" w:fill="FFFFFF"/>
        </w:rPr>
        <w:t>Notably absent from this section is mention of the tr</w:t>
      </w:r>
      <w:r w:rsidRPr="00641387">
        <w:rPr>
          <w:color w:val="222222"/>
          <w:szCs w:val="24"/>
          <w:shd w:val="clear" w:color="auto" w:fill="FFFFFF"/>
        </w:rPr>
        <w:t>ansfer</w:t>
      </w:r>
      <w:r w:rsidR="00CF2F91">
        <w:rPr>
          <w:color w:val="222222"/>
          <w:szCs w:val="24"/>
          <w:shd w:val="clear" w:color="auto" w:fill="FFFFFF"/>
        </w:rPr>
        <w:t xml:space="preserve"> of</w:t>
      </w:r>
      <w:r w:rsidRPr="00641387">
        <w:rPr>
          <w:color w:val="222222"/>
          <w:szCs w:val="24"/>
          <w:shd w:val="clear" w:color="auto" w:fill="FFFFFF"/>
        </w:rPr>
        <w:t xml:space="preserve"> assets and facilities. </w:t>
      </w:r>
      <w:r w:rsidR="00086404">
        <w:rPr>
          <w:color w:val="222222"/>
          <w:szCs w:val="24"/>
          <w:shd w:val="clear" w:color="auto" w:fill="FFFFFF"/>
        </w:rPr>
        <w:t xml:space="preserve">The Commission’s rule addressing service area contracts </w:t>
      </w:r>
      <w:r w:rsidRPr="00641387">
        <w:rPr>
          <w:color w:val="222222"/>
          <w:szCs w:val="24"/>
          <w:shd w:val="clear" w:color="auto" w:fill="FFFFFF"/>
        </w:rPr>
        <w:t>reiterat</w:t>
      </w:r>
      <w:r w:rsidR="00086404">
        <w:rPr>
          <w:color w:val="222222"/>
          <w:szCs w:val="24"/>
          <w:shd w:val="clear" w:color="auto" w:fill="FFFFFF"/>
        </w:rPr>
        <w:t>es</w:t>
      </w:r>
      <w:r w:rsidR="00A628E9">
        <w:rPr>
          <w:color w:val="222222"/>
          <w:szCs w:val="24"/>
          <w:shd w:val="clear" w:color="auto" w:fill="FFFFFF"/>
        </w:rPr>
        <w:t xml:space="preserve"> </w:t>
      </w:r>
      <w:r w:rsidRPr="00641387">
        <w:rPr>
          <w:color w:val="222222"/>
          <w:szCs w:val="24"/>
          <w:shd w:val="clear" w:color="auto" w:fill="FFFFFF"/>
        </w:rPr>
        <w:t>the sole inclusion of service areas and customers served</w:t>
      </w:r>
      <w:r w:rsidR="00CF2F91">
        <w:rPr>
          <w:color w:val="222222"/>
          <w:szCs w:val="24"/>
          <w:shd w:val="clear" w:color="auto" w:fill="FFFFFF"/>
        </w:rPr>
        <w:t>.</w:t>
      </w:r>
      <w:r w:rsidR="00CF2F91" w:rsidRPr="00EF0D53">
        <w:rPr>
          <w:rStyle w:val="FootnoteReference"/>
          <w:color w:val="222222"/>
          <w:sz w:val="24"/>
          <w:szCs w:val="40"/>
          <w:shd w:val="clear" w:color="auto" w:fill="FFFFFF"/>
          <w:vertAlign w:val="superscript"/>
        </w:rPr>
        <w:footnoteReference w:id="2"/>
      </w:r>
      <w:r w:rsidR="00CF2F91">
        <w:rPr>
          <w:color w:val="222222"/>
          <w:szCs w:val="24"/>
          <w:shd w:val="clear" w:color="auto" w:fill="FFFFFF"/>
        </w:rPr>
        <w:t xml:space="preserve">  Not only does the rule </w:t>
      </w:r>
      <w:r w:rsidR="00086404">
        <w:rPr>
          <w:color w:val="222222"/>
          <w:szCs w:val="24"/>
          <w:shd w:val="clear" w:color="auto" w:fill="FFFFFF"/>
        </w:rPr>
        <w:t xml:space="preserve">omit </w:t>
      </w:r>
      <w:r w:rsidR="00CF2F91">
        <w:rPr>
          <w:color w:val="222222"/>
          <w:szCs w:val="24"/>
          <w:shd w:val="clear" w:color="auto" w:fill="FFFFFF"/>
        </w:rPr>
        <w:t>the transfer of facilities</w:t>
      </w:r>
      <w:r w:rsidR="00AB119D">
        <w:rPr>
          <w:color w:val="222222"/>
          <w:szCs w:val="24"/>
          <w:shd w:val="clear" w:color="auto" w:fill="FFFFFF"/>
        </w:rPr>
        <w:t xml:space="preserve">,  it goes on </w:t>
      </w:r>
      <w:r w:rsidRPr="00641387">
        <w:rPr>
          <w:color w:val="222222"/>
          <w:szCs w:val="24"/>
          <w:shd w:val="clear" w:color="auto" w:fill="FFFFFF"/>
        </w:rPr>
        <w:t xml:space="preserve">to clarify that the requirements of </w:t>
      </w:r>
      <w:r w:rsidR="00086404">
        <w:rPr>
          <w:color w:val="222222"/>
          <w:szCs w:val="24"/>
          <w:shd w:val="clear" w:color="auto" w:fill="FFFFFF"/>
        </w:rPr>
        <w:t xml:space="preserve">TWC </w:t>
      </w:r>
      <w:r w:rsidRPr="00641387">
        <w:rPr>
          <w:color w:val="222222"/>
          <w:szCs w:val="24"/>
          <w:shd w:val="clear" w:color="auto" w:fill="FFFFFF"/>
        </w:rPr>
        <w:t>§ 13.301 to document the transfer of assets and facilities between retail public utilities are still in force.</w:t>
      </w:r>
      <w:r w:rsidR="00EF0D53" w:rsidRPr="00EF0D53">
        <w:rPr>
          <w:rStyle w:val="FootnoteReference"/>
          <w:color w:val="222222"/>
          <w:sz w:val="24"/>
          <w:szCs w:val="40"/>
          <w:shd w:val="clear" w:color="auto" w:fill="FFFFFF"/>
          <w:vertAlign w:val="superscript"/>
        </w:rPr>
        <w:footnoteReference w:id="3"/>
      </w:r>
    </w:p>
    <w:p w14:paraId="54F5F687" w14:textId="1E96DA98" w:rsidR="00641387" w:rsidRPr="00641387" w:rsidRDefault="00641387" w:rsidP="00641387">
      <w:pPr>
        <w:spacing w:line="360" w:lineRule="auto"/>
        <w:ind w:firstLine="720"/>
        <w:rPr>
          <w:color w:val="222222"/>
          <w:szCs w:val="24"/>
          <w:shd w:val="clear" w:color="auto" w:fill="FFFFFF"/>
        </w:rPr>
      </w:pPr>
      <w:r w:rsidRPr="00641387">
        <w:rPr>
          <w:color w:val="222222"/>
          <w:szCs w:val="24"/>
          <w:shd w:val="clear" w:color="auto" w:fill="FFFFFF"/>
        </w:rPr>
        <w:t xml:space="preserve">In its </w:t>
      </w:r>
      <w:r w:rsidR="00086404">
        <w:rPr>
          <w:color w:val="222222"/>
          <w:szCs w:val="24"/>
          <w:shd w:val="clear" w:color="auto" w:fill="FFFFFF"/>
        </w:rPr>
        <w:t>R</w:t>
      </w:r>
      <w:r w:rsidRPr="00641387">
        <w:rPr>
          <w:color w:val="222222"/>
          <w:szCs w:val="24"/>
          <w:shd w:val="clear" w:color="auto" w:fill="FFFFFF"/>
        </w:rPr>
        <w:t xml:space="preserve">esponse, Mesquite argues that the Commission does not have authority to regulate the transfer of facilities between political subdivisions, and as such, does not have authority to require Applicants to submit an STM application in order to transfer </w:t>
      </w:r>
      <w:r w:rsidR="00AB119D">
        <w:rPr>
          <w:color w:val="222222"/>
          <w:szCs w:val="24"/>
          <w:shd w:val="clear" w:color="auto" w:fill="FFFFFF"/>
        </w:rPr>
        <w:t>the Fa</w:t>
      </w:r>
      <w:r w:rsidRPr="00641387">
        <w:rPr>
          <w:color w:val="222222"/>
          <w:szCs w:val="24"/>
          <w:shd w:val="clear" w:color="auto" w:fill="FFFFFF"/>
        </w:rPr>
        <w:t>cilities.</w:t>
      </w:r>
      <w:r w:rsidR="00086404">
        <w:rPr>
          <w:rStyle w:val="FootnoteReference"/>
          <w:color w:val="222222"/>
          <w:szCs w:val="24"/>
          <w:shd w:val="clear" w:color="auto" w:fill="FFFFFF"/>
        </w:rPr>
        <w:footnoteReference w:id="4"/>
      </w:r>
      <w:r w:rsidRPr="00641387">
        <w:rPr>
          <w:color w:val="222222"/>
          <w:szCs w:val="24"/>
          <w:shd w:val="clear" w:color="auto" w:fill="FFFFFF"/>
        </w:rPr>
        <w:t xml:space="preserve">  Mesquite further asserts that neither party is required to have a certificate of convenience and necessity under TWC § 13.242.</w:t>
      </w:r>
      <w:r w:rsidR="00086404">
        <w:rPr>
          <w:rStyle w:val="FootnoteReference"/>
          <w:color w:val="222222"/>
          <w:szCs w:val="24"/>
          <w:shd w:val="clear" w:color="auto" w:fill="FFFFFF"/>
        </w:rPr>
        <w:footnoteReference w:id="5"/>
      </w:r>
    </w:p>
    <w:p w14:paraId="13275C84" w14:textId="386BA48B" w:rsidR="006A4189" w:rsidRDefault="00641387" w:rsidP="00641387">
      <w:pPr>
        <w:spacing w:line="360" w:lineRule="auto"/>
        <w:rPr>
          <w:color w:val="222222"/>
          <w:szCs w:val="24"/>
          <w:shd w:val="clear" w:color="auto" w:fill="FFFFFF"/>
        </w:rPr>
      </w:pPr>
      <w:r w:rsidRPr="00641387">
        <w:rPr>
          <w:color w:val="222222"/>
          <w:szCs w:val="24"/>
          <w:shd w:val="clear" w:color="auto" w:fill="FFFFFF"/>
        </w:rPr>
        <w:lastRenderedPageBreak/>
        <w:tab/>
      </w:r>
      <w:r w:rsidR="00782806">
        <w:rPr>
          <w:color w:val="222222"/>
          <w:szCs w:val="24"/>
          <w:shd w:val="clear" w:color="auto" w:fill="FFFFFF"/>
        </w:rPr>
        <w:t xml:space="preserve">Staff agrees that Mesquite and </w:t>
      </w:r>
      <w:proofErr w:type="spellStart"/>
      <w:r w:rsidR="00782806">
        <w:rPr>
          <w:color w:val="222222"/>
          <w:szCs w:val="24"/>
          <w:shd w:val="clear" w:color="auto" w:fill="FFFFFF"/>
        </w:rPr>
        <w:t>Talty</w:t>
      </w:r>
      <w:proofErr w:type="spellEnd"/>
      <w:r w:rsidR="00782806">
        <w:rPr>
          <w:color w:val="222222"/>
          <w:szCs w:val="24"/>
          <w:shd w:val="clear" w:color="auto" w:fill="FFFFFF"/>
        </w:rPr>
        <w:t xml:space="preserve"> SUD are political subdivisions, and therefore, fall under the definition of retail public utility</w:t>
      </w:r>
      <w:r w:rsidR="00782806">
        <w:rPr>
          <w:rStyle w:val="FootnoteReference"/>
          <w:color w:val="222222"/>
          <w:szCs w:val="24"/>
          <w:shd w:val="clear" w:color="auto" w:fill="FFFFFF"/>
        </w:rPr>
        <w:footnoteReference w:id="6"/>
      </w:r>
      <w:r w:rsidR="00782806">
        <w:rPr>
          <w:color w:val="222222"/>
          <w:szCs w:val="24"/>
          <w:shd w:val="clear" w:color="auto" w:fill="FFFFFF"/>
        </w:rPr>
        <w:t xml:space="preserve"> and not public utility.</w:t>
      </w:r>
      <w:r w:rsidR="00782806">
        <w:rPr>
          <w:rStyle w:val="FootnoteReference"/>
          <w:color w:val="222222"/>
          <w:szCs w:val="24"/>
          <w:shd w:val="clear" w:color="auto" w:fill="FFFFFF"/>
        </w:rPr>
        <w:footnoteReference w:id="7"/>
      </w:r>
      <w:r w:rsidR="00782806">
        <w:rPr>
          <w:color w:val="222222"/>
          <w:szCs w:val="24"/>
          <w:shd w:val="clear" w:color="auto" w:fill="FFFFFF"/>
        </w:rPr>
        <w:t xml:space="preserve">  Staff also agrees that </w:t>
      </w:r>
      <w:r w:rsidRPr="00641387">
        <w:rPr>
          <w:color w:val="222222"/>
          <w:szCs w:val="24"/>
          <w:shd w:val="clear" w:color="auto" w:fill="FFFFFF"/>
        </w:rPr>
        <w:t>the plain language of TWC § 13.301 does not explicitly require</w:t>
      </w:r>
      <w:r w:rsidR="00A628E9">
        <w:rPr>
          <w:color w:val="222222"/>
          <w:szCs w:val="24"/>
          <w:shd w:val="clear" w:color="auto" w:fill="FFFFFF"/>
        </w:rPr>
        <w:t xml:space="preserve"> </w:t>
      </w:r>
      <w:r w:rsidRPr="00641387">
        <w:rPr>
          <w:color w:val="222222"/>
          <w:szCs w:val="24"/>
          <w:shd w:val="clear" w:color="auto" w:fill="FFFFFF"/>
        </w:rPr>
        <w:t xml:space="preserve">Applicants to submit an STM application </w:t>
      </w:r>
      <w:r w:rsidR="006A4189">
        <w:rPr>
          <w:color w:val="222222"/>
          <w:szCs w:val="24"/>
          <w:shd w:val="clear" w:color="auto" w:fill="FFFFFF"/>
        </w:rPr>
        <w:t xml:space="preserve"> because they are retail public utilities and neither is a water supply corporation</w:t>
      </w:r>
      <w:r w:rsidR="00782806">
        <w:rPr>
          <w:color w:val="222222"/>
          <w:szCs w:val="24"/>
          <w:shd w:val="clear" w:color="auto" w:fill="FFFFFF"/>
        </w:rPr>
        <w:t>.</w:t>
      </w:r>
      <w:r w:rsidRPr="00641387">
        <w:rPr>
          <w:color w:val="222222"/>
          <w:szCs w:val="24"/>
          <w:shd w:val="clear" w:color="auto" w:fill="FFFFFF"/>
        </w:rPr>
        <w:t xml:space="preserve"> </w:t>
      </w:r>
      <w:r w:rsidR="00782806">
        <w:rPr>
          <w:color w:val="222222"/>
          <w:szCs w:val="24"/>
          <w:shd w:val="clear" w:color="auto" w:fill="FFFFFF"/>
        </w:rPr>
        <w:t xml:space="preserve">However, Staff does not agree that these facts lead to the conclusion that a transfer of facilities may be effected through an application for a service area contract submitted under TWC </w:t>
      </w:r>
      <w:r w:rsidR="00782806" w:rsidRPr="00641387">
        <w:rPr>
          <w:color w:val="222222"/>
          <w:szCs w:val="24"/>
          <w:shd w:val="clear" w:color="auto" w:fill="FFFFFF"/>
        </w:rPr>
        <w:t>§</w:t>
      </w:r>
      <w:r w:rsidR="00782806">
        <w:rPr>
          <w:color w:val="222222"/>
          <w:szCs w:val="24"/>
          <w:shd w:val="clear" w:color="auto" w:fill="FFFFFF"/>
        </w:rPr>
        <w:t xml:space="preserve"> 13.248.  </w:t>
      </w:r>
    </w:p>
    <w:p w14:paraId="7AFF8563" w14:textId="157B5EC0" w:rsidR="00641387" w:rsidRPr="00A628E9" w:rsidRDefault="006A4189" w:rsidP="00641387">
      <w:pPr>
        <w:spacing w:line="360" w:lineRule="auto"/>
      </w:pPr>
      <w:r>
        <w:rPr>
          <w:color w:val="222222"/>
          <w:szCs w:val="24"/>
          <w:shd w:val="clear" w:color="auto" w:fill="FFFFFF"/>
        </w:rPr>
        <w:tab/>
        <w:t xml:space="preserve">Further, </w:t>
      </w:r>
      <w:r w:rsidR="000A219B">
        <w:rPr>
          <w:color w:val="222222"/>
          <w:szCs w:val="24"/>
          <w:shd w:val="clear" w:color="auto" w:fill="FFFFFF"/>
        </w:rPr>
        <w:t xml:space="preserve">16 TAC </w:t>
      </w:r>
      <w:r w:rsidR="000A219B" w:rsidRPr="00641387">
        <w:rPr>
          <w:color w:val="222222"/>
          <w:szCs w:val="24"/>
          <w:shd w:val="clear" w:color="auto" w:fill="FFFFFF"/>
        </w:rPr>
        <w:t>§</w:t>
      </w:r>
      <w:r w:rsidR="000A219B">
        <w:rPr>
          <w:color w:val="222222"/>
          <w:szCs w:val="24"/>
          <w:shd w:val="clear" w:color="auto" w:fill="FFFFFF"/>
        </w:rPr>
        <w:t xml:space="preserve"> 24.239, the Commission rule that corresponds to TWC </w:t>
      </w:r>
      <w:r w:rsidR="000A219B" w:rsidRPr="00641387">
        <w:rPr>
          <w:color w:val="222222"/>
          <w:szCs w:val="24"/>
          <w:shd w:val="clear" w:color="auto" w:fill="FFFFFF"/>
        </w:rPr>
        <w:t>§ 13.301</w:t>
      </w:r>
      <w:r w:rsidR="000A219B">
        <w:rPr>
          <w:color w:val="222222"/>
          <w:szCs w:val="24"/>
          <w:shd w:val="clear" w:color="auto" w:fill="FFFFFF"/>
        </w:rPr>
        <w:t>,</w:t>
      </w:r>
      <w:r w:rsidR="000A219B" w:rsidRPr="00641387">
        <w:rPr>
          <w:color w:val="222222"/>
          <w:szCs w:val="24"/>
          <w:shd w:val="clear" w:color="auto" w:fill="FFFFFF"/>
        </w:rPr>
        <w:t xml:space="preserve"> </w:t>
      </w:r>
      <w:r w:rsidR="000A219B">
        <w:rPr>
          <w:color w:val="222222"/>
          <w:szCs w:val="24"/>
          <w:shd w:val="clear" w:color="auto" w:fill="FFFFFF"/>
        </w:rPr>
        <w:t xml:space="preserve">expressly allows for </w:t>
      </w:r>
      <w:r w:rsidR="000A219B">
        <w:t>a retail public utility that possesses a CCN to file an STM application.</w:t>
      </w:r>
      <w:r w:rsidR="000A219B">
        <w:rPr>
          <w:rStyle w:val="FootnoteReference"/>
        </w:rPr>
        <w:footnoteReference w:id="8"/>
      </w:r>
      <w:r w:rsidR="000A219B">
        <w:t xml:space="preserve">  Both Mesquite and </w:t>
      </w:r>
      <w:proofErr w:type="spellStart"/>
      <w:r w:rsidR="000A219B">
        <w:t>Talty</w:t>
      </w:r>
      <w:proofErr w:type="spellEnd"/>
      <w:r w:rsidR="000A219B">
        <w:t xml:space="preserve"> SUD hold water CCNs.  Accordingly, there is nothing preventing Applicants from seeking approval for their proposed transfer of service area, customers, and facilities via an STM application.</w:t>
      </w:r>
      <w:r>
        <w:t xml:space="preserve"> The fact that Applicants hold CCNs </w:t>
      </w:r>
      <w:r>
        <w:rPr>
          <w:color w:val="222222"/>
          <w:szCs w:val="24"/>
          <w:shd w:val="clear" w:color="auto" w:fill="FFFFFF"/>
        </w:rPr>
        <w:t xml:space="preserve">also renders </w:t>
      </w:r>
      <w:r w:rsidRPr="00641387">
        <w:rPr>
          <w:color w:val="222222"/>
          <w:szCs w:val="24"/>
          <w:shd w:val="clear" w:color="auto" w:fill="FFFFFF"/>
        </w:rPr>
        <w:t>Mesquite</w:t>
      </w:r>
      <w:r>
        <w:rPr>
          <w:color w:val="222222"/>
          <w:szCs w:val="24"/>
          <w:shd w:val="clear" w:color="auto" w:fill="FFFFFF"/>
        </w:rPr>
        <w:t>’s</w:t>
      </w:r>
      <w:r w:rsidRPr="00641387">
        <w:rPr>
          <w:color w:val="222222"/>
          <w:szCs w:val="24"/>
          <w:shd w:val="clear" w:color="auto" w:fill="FFFFFF"/>
        </w:rPr>
        <w:t xml:space="preserve"> </w:t>
      </w:r>
      <w:r>
        <w:rPr>
          <w:color w:val="222222"/>
          <w:szCs w:val="24"/>
          <w:shd w:val="clear" w:color="auto" w:fill="FFFFFF"/>
        </w:rPr>
        <w:t xml:space="preserve">arguments </w:t>
      </w:r>
      <w:r w:rsidRPr="00641387">
        <w:rPr>
          <w:color w:val="222222"/>
          <w:szCs w:val="24"/>
          <w:shd w:val="clear" w:color="auto" w:fill="FFFFFF"/>
        </w:rPr>
        <w:t>that Applicants are not required to hold CCNs</w:t>
      </w:r>
      <w:r>
        <w:rPr>
          <w:color w:val="222222"/>
          <w:szCs w:val="24"/>
          <w:shd w:val="clear" w:color="auto" w:fill="FFFFFF"/>
        </w:rPr>
        <w:t xml:space="preserve"> moot.  W</w:t>
      </w:r>
      <w:r w:rsidRPr="00641387">
        <w:rPr>
          <w:color w:val="222222"/>
          <w:szCs w:val="24"/>
          <w:shd w:val="clear" w:color="auto" w:fill="FFFFFF"/>
        </w:rPr>
        <w:t xml:space="preserve">hile Applicants are not </w:t>
      </w:r>
      <w:r w:rsidRPr="00641387">
        <w:rPr>
          <w:i/>
          <w:iCs/>
          <w:color w:val="222222"/>
          <w:szCs w:val="24"/>
          <w:shd w:val="clear" w:color="auto" w:fill="FFFFFF"/>
        </w:rPr>
        <w:t>per se</w:t>
      </w:r>
      <w:r w:rsidRPr="00641387">
        <w:rPr>
          <w:color w:val="222222"/>
          <w:szCs w:val="24"/>
          <w:shd w:val="clear" w:color="auto" w:fill="FFFFFF"/>
        </w:rPr>
        <w:t xml:space="preserve"> required to file an STM application</w:t>
      </w:r>
      <w:r>
        <w:rPr>
          <w:color w:val="222222"/>
          <w:szCs w:val="24"/>
          <w:shd w:val="clear" w:color="auto" w:fill="FFFFFF"/>
        </w:rPr>
        <w:t xml:space="preserve"> because they are not entities “</w:t>
      </w:r>
      <w:r>
        <w:t>required by law to possess a certificate of convenience and necessity…”</w:t>
      </w:r>
      <w:r>
        <w:rPr>
          <w:rStyle w:val="FootnoteReference"/>
        </w:rPr>
        <w:footnoteReference w:id="9"/>
      </w:r>
      <w:r w:rsidRPr="00641387">
        <w:rPr>
          <w:color w:val="222222"/>
          <w:szCs w:val="24"/>
          <w:shd w:val="clear" w:color="auto" w:fill="FFFFFF"/>
        </w:rPr>
        <w:t xml:space="preserve"> it would be in the public’s best interest to have the additional oversight of the transaction to occur between two certificated entities. </w:t>
      </w:r>
    </w:p>
    <w:p w14:paraId="37AD19D5" w14:textId="38EEA96B" w:rsidR="00641387" w:rsidRPr="00641387" w:rsidRDefault="00641387" w:rsidP="00641387">
      <w:pPr>
        <w:spacing w:line="360" w:lineRule="auto"/>
        <w:rPr>
          <w:color w:val="222222"/>
          <w:szCs w:val="24"/>
          <w:shd w:val="clear" w:color="auto" w:fill="FFFFFF"/>
        </w:rPr>
      </w:pPr>
      <w:r w:rsidRPr="00641387">
        <w:rPr>
          <w:color w:val="222222"/>
          <w:szCs w:val="24"/>
          <w:shd w:val="clear" w:color="auto" w:fill="FFFFFF"/>
        </w:rPr>
        <w:tab/>
      </w:r>
      <w:r w:rsidR="00AC2AD5">
        <w:rPr>
          <w:color w:val="222222"/>
          <w:szCs w:val="24"/>
          <w:shd w:val="clear" w:color="auto" w:fill="FFFFFF"/>
        </w:rPr>
        <w:t>A</w:t>
      </w:r>
      <w:r w:rsidR="000A219B">
        <w:rPr>
          <w:color w:val="222222"/>
          <w:szCs w:val="24"/>
          <w:shd w:val="clear" w:color="auto" w:fill="FFFFFF"/>
        </w:rPr>
        <w:t xml:space="preserve">n application under </w:t>
      </w:r>
      <w:r w:rsidR="00AB119D" w:rsidRPr="00641387">
        <w:rPr>
          <w:szCs w:val="24"/>
        </w:rPr>
        <w:t>TWC</w:t>
      </w:r>
      <w:r w:rsidR="00AB119D" w:rsidRPr="00641387">
        <w:rPr>
          <w:color w:val="222222"/>
          <w:szCs w:val="24"/>
          <w:shd w:val="clear" w:color="auto" w:fill="FFFFFF"/>
        </w:rPr>
        <w:t xml:space="preserve"> §</w:t>
      </w:r>
      <w:r w:rsidR="00AB119D">
        <w:rPr>
          <w:color w:val="222222"/>
          <w:szCs w:val="24"/>
          <w:shd w:val="clear" w:color="auto" w:fill="FFFFFF"/>
        </w:rPr>
        <w:t xml:space="preserve"> </w:t>
      </w:r>
      <w:r w:rsidRPr="00641387">
        <w:rPr>
          <w:color w:val="222222"/>
          <w:szCs w:val="24"/>
          <w:shd w:val="clear" w:color="auto" w:fill="FFFFFF"/>
        </w:rPr>
        <w:t xml:space="preserve">13.301 </w:t>
      </w:r>
      <w:r w:rsidR="000A219B">
        <w:rPr>
          <w:color w:val="222222"/>
          <w:szCs w:val="24"/>
          <w:shd w:val="clear" w:color="auto" w:fill="FFFFFF"/>
        </w:rPr>
        <w:t xml:space="preserve">entails a more robust </w:t>
      </w:r>
      <w:r w:rsidRPr="00641387">
        <w:rPr>
          <w:color w:val="222222"/>
          <w:szCs w:val="24"/>
          <w:shd w:val="clear" w:color="auto" w:fill="FFFFFF"/>
        </w:rPr>
        <w:t>review</w:t>
      </w:r>
      <w:r w:rsidR="00AB119D">
        <w:rPr>
          <w:color w:val="222222"/>
          <w:szCs w:val="24"/>
          <w:shd w:val="clear" w:color="auto" w:fill="FFFFFF"/>
        </w:rPr>
        <w:t xml:space="preserve"> than </w:t>
      </w:r>
      <w:r w:rsidR="000A219B">
        <w:rPr>
          <w:color w:val="222222"/>
          <w:szCs w:val="24"/>
          <w:shd w:val="clear" w:color="auto" w:fill="FFFFFF"/>
        </w:rPr>
        <w:t xml:space="preserve">an application filed under TWC </w:t>
      </w:r>
      <w:r w:rsidR="00AB119D" w:rsidRPr="00641387">
        <w:rPr>
          <w:color w:val="222222"/>
          <w:szCs w:val="24"/>
          <w:shd w:val="clear" w:color="auto" w:fill="FFFFFF"/>
        </w:rPr>
        <w:t>§ 13.248</w:t>
      </w:r>
      <w:r w:rsidRPr="00641387">
        <w:rPr>
          <w:color w:val="222222"/>
          <w:szCs w:val="24"/>
          <w:shd w:val="clear" w:color="auto" w:fill="FFFFFF"/>
        </w:rPr>
        <w:t xml:space="preserve">. Specifically, </w:t>
      </w:r>
      <w:r w:rsidR="000A219B">
        <w:rPr>
          <w:color w:val="222222"/>
          <w:szCs w:val="24"/>
          <w:shd w:val="clear" w:color="auto" w:fill="FFFFFF"/>
        </w:rPr>
        <w:t xml:space="preserve">TWC </w:t>
      </w:r>
      <w:r w:rsidR="00AB119D" w:rsidRPr="00AB119D">
        <w:rPr>
          <w:color w:val="222222"/>
          <w:szCs w:val="24"/>
          <w:shd w:val="clear" w:color="auto" w:fill="FFFFFF"/>
        </w:rPr>
        <w:t>§ 13.301</w:t>
      </w:r>
      <w:r w:rsidRPr="00641387">
        <w:rPr>
          <w:color w:val="222222"/>
          <w:szCs w:val="24"/>
          <w:shd w:val="clear" w:color="auto" w:fill="FFFFFF"/>
        </w:rPr>
        <w:t>(b) provides that the Commission “may require that the person purchasing or acquiring the water…system demonstrate adequate financial, managerial, and technical capability for providing continuous and adequate service to the requested area and any areas currently certificated to the person.”</w:t>
      </w:r>
      <w:r w:rsidRPr="00EF0D53">
        <w:rPr>
          <w:rStyle w:val="FootnoteReference"/>
          <w:color w:val="222222"/>
          <w:sz w:val="24"/>
          <w:szCs w:val="24"/>
          <w:shd w:val="clear" w:color="auto" w:fill="FFFFFF"/>
          <w:vertAlign w:val="superscript"/>
        </w:rPr>
        <w:footnoteReference w:id="10"/>
      </w:r>
      <w:r w:rsidRPr="00641387">
        <w:rPr>
          <w:color w:val="222222"/>
          <w:szCs w:val="24"/>
          <w:shd w:val="clear" w:color="auto" w:fill="FFFFFF"/>
        </w:rPr>
        <w:t xml:space="preserve">  These requirements are meant to ensure the transaction will meet the public interest.</w:t>
      </w:r>
      <w:r w:rsidRPr="00EF0D53">
        <w:rPr>
          <w:rStyle w:val="FootnoteReference"/>
          <w:color w:val="222222"/>
          <w:sz w:val="24"/>
          <w:szCs w:val="24"/>
          <w:shd w:val="clear" w:color="auto" w:fill="FFFFFF"/>
          <w:vertAlign w:val="superscript"/>
        </w:rPr>
        <w:footnoteReference w:id="11"/>
      </w:r>
      <w:r w:rsidR="00213EAC">
        <w:rPr>
          <w:color w:val="222222"/>
          <w:szCs w:val="24"/>
          <w:shd w:val="clear" w:color="auto" w:fill="FFFFFF"/>
        </w:rPr>
        <w:t xml:space="preserve"> Because the plain language of TWC </w:t>
      </w:r>
      <w:r w:rsidR="00213EAC" w:rsidRPr="00AB119D">
        <w:rPr>
          <w:color w:val="222222"/>
          <w:szCs w:val="24"/>
          <w:shd w:val="clear" w:color="auto" w:fill="FFFFFF"/>
        </w:rPr>
        <w:t>§</w:t>
      </w:r>
      <w:r w:rsidR="00213EAC">
        <w:rPr>
          <w:color w:val="222222"/>
          <w:szCs w:val="24"/>
          <w:shd w:val="clear" w:color="auto" w:fill="FFFFFF"/>
        </w:rPr>
        <w:t xml:space="preserve"> 13.248 does not authorize approval of a service area contract that includes the transfer facilities, Staff recommends that Applicants seek approval of this transaction under TWC </w:t>
      </w:r>
      <w:r w:rsidR="00213EAC" w:rsidRPr="00AB119D">
        <w:rPr>
          <w:color w:val="222222"/>
          <w:szCs w:val="24"/>
          <w:shd w:val="clear" w:color="auto" w:fill="FFFFFF"/>
        </w:rPr>
        <w:t>§</w:t>
      </w:r>
      <w:r w:rsidR="00213EAC">
        <w:rPr>
          <w:color w:val="222222"/>
          <w:szCs w:val="24"/>
          <w:shd w:val="clear" w:color="auto" w:fill="FFFFFF"/>
        </w:rPr>
        <w:t xml:space="preserve"> 13.301.</w:t>
      </w:r>
      <w:r w:rsidRPr="00641387">
        <w:rPr>
          <w:color w:val="222222"/>
          <w:szCs w:val="24"/>
          <w:shd w:val="clear" w:color="auto" w:fill="FFFFFF"/>
        </w:rPr>
        <w:t xml:space="preserve"> </w:t>
      </w:r>
    </w:p>
    <w:p w14:paraId="06C4C564" w14:textId="6E1C2038" w:rsidR="00641387" w:rsidRPr="00641387" w:rsidRDefault="00641387" w:rsidP="00641387">
      <w:pPr>
        <w:spacing w:line="360" w:lineRule="auto"/>
        <w:rPr>
          <w:color w:val="222222"/>
          <w:szCs w:val="24"/>
          <w:shd w:val="clear" w:color="auto" w:fill="FFFFFF"/>
        </w:rPr>
      </w:pPr>
      <w:r w:rsidRPr="00641387">
        <w:rPr>
          <w:color w:val="222222"/>
          <w:szCs w:val="24"/>
          <w:shd w:val="clear" w:color="auto" w:fill="FFFFFF"/>
        </w:rPr>
        <w:tab/>
        <w:t xml:space="preserve"> </w:t>
      </w:r>
    </w:p>
    <w:p w14:paraId="5B346CEE" w14:textId="634E386B" w:rsidR="008261A0" w:rsidRPr="000D17E4" w:rsidRDefault="008261A0" w:rsidP="008275DE">
      <w:pPr>
        <w:pStyle w:val="ListParagraph"/>
        <w:numPr>
          <w:ilvl w:val="0"/>
          <w:numId w:val="10"/>
        </w:numPr>
        <w:spacing w:line="360" w:lineRule="auto"/>
        <w:jc w:val="center"/>
        <w:rPr>
          <w:b/>
          <w:bCs/>
          <w:szCs w:val="24"/>
        </w:rPr>
      </w:pPr>
      <w:r w:rsidRPr="000D17E4">
        <w:rPr>
          <w:b/>
          <w:bCs/>
          <w:szCs w:val="24"/>
        </w:rPr>
        <w:lastRenderedPageBreak/>
        <w:t>CONCLUSION</w:t>
      </w:r>
    </w:p>
    <w:p w14:paraId="0A428109" w14:textId="7B47C407" w:rsidR="00E755FD" w:rsidRDefault="00092D85" w:rsidP="00213EAC">
      <w:pPr>
        <w:spacing w:line="360" w:lineRule="auto"/>
        <w:ind w:firstLine="720"/>
        <w:rPr>
          <w:szCs w:val="24"/>
        </w:rPr>
      </w:pPr>
      <w:r w:rsidRPr="000D17E4">
        <w:rPr>
          <w:szCs w:val="24"/>
        </w:rPr>
        <w:t>On the</w:t>
      </w:r>
      <w:r w:rsidR="008261A0" w:rsidRPr="000D17E4">
        <w:rPr>
          <w:szCs w:val="24"/>
        </w:rPr>
        <w:t xml:space="preserve"> </w:t>
      </w:r>
      <w:proofErr w:type="gramStart"/>
      <w:r w:rsidR="008261A0" w:rsidRPr="000D17E4">
        <w:rPr>
          <w:szCs w:val="24"/>
        </w:rPr>
        <w:t>aforementioned basis</w:t>
      </w:r>
      <w:proofErr w:type="gramEnd"/>
      <w:r w:rsidRPr="000D17E4">
        <w:rPr>
          <w:szCs w:val="24"/>
        </w:rPr>
        <w:t xml:space="preserve">, </w:t>
      </w:r>
      <w:r w:rsidR="008275DE" w:rsidRPr="000D17E4">
        <w:rPr>
          <w:szCs w:val="24"/>
        </w:rPr>
        <w:t>Staff respectfully requests that</w:t>
      </w:r>
      <w:r w:rsidR="00F613E4">
        <w:rPr>
          <w:szCs w:val="24"/>
        </w:rPr>
        <w:t xml:space="preserve"> the application be found administratively incomplete at this time, and that Applicants be ordered to file</w:t>
      </w:r>
      <w:r w:rsidR="00042650">
        <w:rPr>
          <w:szCs w:val="24"/>
        </w:rPr>
        <w:t xml:space="preserve"> an </w:t>
      </w:r>
      <w:r w:rsidR="00AB119D">
        <w:rPr>
          <w:szCs w:val="24"/>
        </w:rPr>
        <w:t>STM application</w:t>
      </w:r>
      <w:r w:rsidR="00F613E4">
        <w:rPr>
          <w:szCs w:val="24"/>
        </w:rPr>
        <w:t>.</w:t>
      </w:r>
      <w:r w:rsidR="00213EAC">
        <w:rPr>
          <w:szCs w:val="24"/>
        </w:rPr>
        <w:t xml:space="preserve"> </w:t>
      </w:r>
      <w:r w:rsidR="00742142" w:rsidRPr="000D17E4">
        <w:rPr>
          <w:szCs w:val="24"/>
        </w:rPr>
        <w:t xml:space="preserve"> </w:t>
      </w:r>
    </w:p>
    <w:p w14:paraId="57CD3174" w14:textId="75EF2274" w:rsidR="00213EAC" w:rsidRDefault="00213EAC" w:rsidP="00213EAC">
      <w:pPr>
        <w:spacing w:line="360" w:lineRule="auto"/>
        <w:ind w:firstLine="720"/>
        <w:rPr>
          <w:szCs w:val="24"/>
        </w:rPr>
      </w:pPr>
    </w:p>
    <w:p w14:paraId="27034396" w14:textId="309B9985" w:rsidR="009C6B97" w:rsidRPr="000D17E4" w:rsidRDefault="009D3BA2" w:rsidP="009D3BA2">
      <w:pPr>
        <w:spacing w:line="360" w:lineRule="auto"/>
        <w:rPr>
          <w:bCs/>
          <w:szCs w:val="24"/>
        </w:rPr>
      </w:pPr>
      <w:r w:rsidRPr="000D17E4">
        <w:rPr>
          <w:bCs/>
          <w:szCs w:val="24"/>
        </w:rPr>
        <w:t>Dated:</w:t>
      </w:r>
      <w:r w:rsidRPr="000D17E4">
        <w:rPr>
          <w:bCs/>
          <w:szCs w:val="24"/>
        </w:rPr>
        <w:tab/>
        <w:t xml:space="preserve"> </w:t>
      </w:r>
      <w:r w:rsidR="00561B98">
        <w:rPr>
          <w:bCs/>
          <w:szCs w:val="24"/>
        </w:rPr>
        <w:t>August 21</w:t>
      </w:r>
      <w:r w:rsidRPr="000D17E4">
        <w:rPr>
          <w:bCs/>
          <w:szCs w:val="24"/>
        </w:rPr>
        <w:t>, 2020</w:t>
      </w:r>
    </w:p>
    <w:p w14:paraId="00BE557D" w14:textId="77777777" w:rsidR="002A360E" w:rsidRPr="000D17E4" w:rsidRDefault="002A360E" w:rsidP="002A360E">
      <w:pPr>
        <w:pStyle w:val="Normaldouble"/>
        <w:ind w:left="4320" w:firstLine="720"/>
        <w:rPr>
          <w:szCs w:val="24"/>
        </w:rPr>
      </w:pPr>
      <w:r w:rsidRPr="000D17E4">
        <w:rPr>
          <w:szCs w:val="24"/>
        </w:rPr>
        <w:t>Respectfully Submitted,</w:t>
      </w:r>
    </w:p>
    <w:p w14:paraId="20E24D6A" w14:textId="77777777" w:rsidR="00FB7C03" w:rsidRPr="000D17E4" w:rsidRDefault="00FB7C03" w:rsidP="00FB7C03">
      <w:pPr>
        <w:ind w:left="5040"/>
        <w:contextualSpacing/>
        <w:rPr>
          <w:b/>
          <w:szCs w:val="24"/>
        </w:rPr>
      </w:pPr>
      <w:r w:rsidRPr="000D17E4">
        <w:rPr>
          <w:b/>
          <w:szCs w:val="24"/>
        </w:rPr>
        <w:t>PUBLIC UTILITY COMMISSION OF TEXAS LEGAL DIVISION</w:t>
      </w:r>
    </w:p>
    <w:p w14:paraId="24C0AD68" w14:textId="77777777" w:rsidR="00FB7C03" w:rsidRPr="000D17E4" w:rsidRDefault="00FB7C03" w:rsidP="00FB7C03">
      <w:pPr>
        <w:pStyle w:val="Normaldouble"/>
        <w:spacing w:line="240" w:lineRule="auto"/>
        <w:ind w:left="3600" w:firstLine="720"/>
        <w:rPr>
          <w:szCs w:val="24"/>
        </w:rPr>
      </w:pPr>
    </w:p>
    <w:p w14:paraId="0EC94238" w14:textId="6BC0AA81" w:rsidR="00FB7C03" w:rsidRPr="000D17E4" w:rsidRDefault="005C59AE" w:rsidP="00FB7C03">
      <w:pPr>
        <w:pStyle w:val="Normaldouble"/>
        <w:spacing w:line="240" w:lineRule="auto"/>
        <w:ind w:left="4320" w:firstLine="720"/>
        <w:rPr>
          <w:szCs w:val="24"/>
        </w:rPr>
      </w:pPr>
      <w:r w:rsidRPr="000D17E4">
        <w:rPr>
          <w:szCs w:val="24"/>
        </w:rPr>
        <w:t>Rachelle N. Robles</w:t>
      </w:r>
    </w:p>
    <w:p w14:paraId="59FE087D" w14:textId="77777777" w:rsidR="00FB7C03" w:rsidRPr="000D17E4" w:rsidRDefault="00FB7C03" w:rsidP="00FB7C03">
      <w:pPr>
        <w:pStyle w:val="Normaldouble"/>
        <w:spacing w:line="240" w:lineRule="auto"/>
        <w:jc w:val="left"/>
        <w:rPr>
          <w:szCs w:val="24"/>
        </w:rPr>
      </w:pP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t xml:space="preserve">Division Director </w:t>
      </w:r>
    </w:p>
    <w:p w14:paraId="01989711" w14:textId="77777777" w:rsidR="00FB7C03" w:rsidRPr="000D17E4" w:rsidRDefault="00FB7C03" w:rsidP="00FB7C03">
      <w:pPr>
        <w:pStyle w:val="Normaldouble"/>
        <w:spacing w:line="240" w:lineRule="auto"/>
        <w:rPr>
          <w:szCs w:val="24"/>
        </w:rPr>
      </w:pPr>
    </w:p>
    <w:p w14:paraId="55E81555" w14:textId="4C4A7CE4" w:rsidR="00FB7C03" w:rsidRPr="000D17E4" w:rsidRDefault="00FB7C03" w:rsidP="00FB7C03">
      <w:pPr>
        <w:keepNext/>
        <w:ind w:left="4320"/>
        <w:rPr>
          <w:szCs w:val="24"/>
        </w:rPr>
      </w:pPr>
      <w:r w:rsidRPr="000D17E4">
        <w:rPr>
          <w:szCs w:val="24"/>
        </w:rPr>
        <w:tab/>
      </w:r>
      <w:r w:rsidR="005C59AE" w:rsidRPr="000D17E4">
        <w:rPr>
          <w:szCs w:val="24"/>
        </w:rPr>
        <w:t xml:space="preserve">Eleanor </w:t>
      </w:r>
      <w:proofErr w:type="spellStart"/>
      <w:r w:rsidR="005C59AE" w:rsidRPr="000D17E4">
        <w:rPr>
          <w:szCs w:val="24"/>
        </w:rPr>
        <w:t>D’Ambrosio</w:t>
      </w:r>
      <w:proofErr w:type="spellEnd"/>
    </w:p>
    <w:p w14:paraId="43873386" w14:textId="77777777" w:rsidR="00FB7C03" w:rsidRPr="000D17E4" w:rsidRDefault="00FB7C03" w:rsidP="00FB7C03">
      <w:pPr>
        <w:keepNext/>
        <w:ind w:left="4320"/>
        <w:rPr>
          <w:szCs w:val="24"/>
        </w:rPr>
      </w:pPr>
      <w:r w:rsidRPr="000D17E4">
        <w:rPr>
          <w:szCs w:val="24"/>
        </w:rPr>
        <w:tab/>
        <w:t>Managing Attorney</w:t>
      </w:r>
    </w:p>
    <w:p w14:paraId="34D07239" w14:textId="77777777" w:rsidR="00FB7C03" w:rsidRPr="000D17E4" w:rsidRDefault="00FB7C03" w:rsidP="00FB7C03">
      <w:pPr>
        <w:keepNext/>
        <w:ind w:left="4320"/>
        <w:rPr>
          <w:szCs w:val="24"/>
        </w:rPr>
      </w:pPr>
    </w:p>
    <w:p w14:paraId="3BBAC6AE" w14:textId="77777777" w:rsidR="00FB7C03" w:rsidRPr="000D17E4" w:rsidRDefault="00FB7C03" w:rsidP="00FB7C03">
      <w:pPr>
        <w:keepNext/>
        <w:ind w:left="4320"/>
        <w:rPr>
          <w:szCs w:val="24"/>
        </w:rPr>
      </w:pPr>
    </w:p>
    <w:p w14:paraId="0764D01D" w14:textId="7723A5BD" w:rsidR="00FB7C03" w:rsidRPr="000D17E4" w:rsidRDefault="00FB7C03" w:rsidP="00FB7C03">
      <w:pPr>
        <w:pStyle w:val="Normaldouble"/>
        <w:spacing w:line="240" w:lineRule="auto"/>
        <w:rPr>
          <w:szCs w:val="24"/>
        </w:rPr>
      </w:pP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r>
      <w:r w:rsidR="00B90008" w:rsidRPr="000D17E4">
        <w:rPr>
          <w:szCs w:val="24"/>
          <w:u w:val="single"/>
        </w:rPr>
        <w:t>/s/ Justin C. Adkins</w:t>
      </w:r>
      <w:r w:rsidR="00B90008" w:rsidRPr="000D17E4">
        <w:rPr>
          <w:szCs w:val="24"/>
        </w:rPr>
        <w:t>_________</w:t>
      </w:r>
    </w:p>
    <w:p w14:paraId="35783F05" w14:textId="77777777" w:rsidR="002914D1" w:rsidRPr="000D17E4" w:rsidRDefault="00FB7C03" w:rsidP="002914D1">
      <w:pPr>
        <w:pStyle w:val="Normaldouble"/>
        <w:spacing w:line="240" w:lineRule="auto"/>
        <w:rPr>
          <w:szCs w:val="24"/>
        </w:rPr>
      </w:pP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r>
      <w:r w:rsidR="002914D1" w:rsidRPr="000D17E4">
        <w:rPr>
          <w:szCs w:val="24"/>
        </w:rPr>
        <w:t>Justin C. Adkins</w:t>
      </w:r>
    </w:p>
    <w:p w14:paraId="6116632E" w14:textId="7FAFCAF4" w:rsidR="002914D1" w:rsidRPr="000D17E4" w:rsidRDefault="002914D1" w:rsidP="002914D1">
      <w:pPr>
        <w:pStyle w:val="Normaldouble"/>
        <w:spacing w:line="240" w:lineRule="auto"/>
        <w:rPr>
          <w:szCs w:val="24"/>
        </w:rPr>
      </w:pP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t>State Bar No. 24101070</w:t>
      </w:r>
    </w:p>
    <w:p w14:paraId="32E7B6AD" w14:textId="358A3E23" w:rsidR="002914D1" w:rsidRPr="000D17E4" w:rsidRDefault="002914D1" w:rsidP="002914D1">
      <w:pPr>
        <w:pStyle w:val="Normaldouble"/>
        <w:spacing w:line="240" w:lineRule="auto"/>
        <w:rPr>
          <w:szCs w:val="24"/>
        </w:rPr>
      </w:pP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t>1701 N. Congress Avenue</w:t>
      </w:r>
    </w:p>
    <w:p w14:paraId="7E57D1F3" w14:textId="4EDE6D00" w:rsidR="002914D1" w:rsidRPr="000D17E4" w:rsidRDefault="002914D1" w:rsidP="002914D1">
      <w:pPr>
        <w:pStyle w:val="Normaldouble"/>
        <w:spacing w:line="240" w:lineRule="auto"/>
        <w:rPr>
          <w:szCs w:val="24"/>
        </w:rPr>
      </w:pP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t>P.O. Box 13326</w:t>
      </w:r>
    </w:p>
    <w:p w14:paraId="0A1E65F2" w14:textId="1DDC4D70" w:rsidR="002914D1" w:rsidRPr="000D17E4" w:rsidRDefault="002914D1" w:rsidP="002914D1">
      <w:pPr>
        <w:pStyle w:val="Normaldouble"/>
        <w:spacing w:line="240" w:lineRule="auto"/>
        <w:rPr>
          <w:szCs w:val="24"/>
        </w:rPr>
      </w:pP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t>Austin, Texas 78711-3326</w:t>
      </w:r>
    </w:p>
    <w:p w14:paraId="4B39A265" w14:textId="27937B89" w:rsidR="002914D1" w:rsidRPr="000D17E4" w:rsidRDefault="002914D1" w:rsidP="002914D1">
      <w:pPr>
        <w:pStyle w:val="Normaldouble"/>
        <w:spacing w:line="240" w:lineRule="auto"/>
        <w:rPr>
          <w:szCs w:val="24"/>
        </w:rPr>
      </w:pP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t>(512) 936-7289</w:t>
      </w:r>
    </w:p>
    <w:p w14:paraId="7D17E058" w14:textId="718BF6A7" w:rsidR="002914D1" w:rsidRPr="000D17E4" w:rsidRDefault="002914D1" w:rsidP="002914D1">
      <w:pPr>
        <w:pStyle w:val="Normaldouble"/>
        <w:spacing w:line="240" w:lineRule="auto"/>
        <w:rPr>
          <w:szCs w:val="24"/>
        </w:rPr>
      </w:pP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t>(512) 936-7268 (facsimile)</w:t>
      </w:r>
    </w:p>
    <w:p w14:paraId="18068024" w14:textId="023B114A" w:rsidR="002914D1" w:rsidRPr="000D17E4" w:rsidRDefault="002914D1" w:rsidP="002914D1">
      <w:pPr>
        <w:pStyle w:val="Normaldouble"/>
        <w:spacing w:line="240" w:lineRule="auto"/>
        <w:rPr>
          <w:szCs w:val="24"/>
        </w:rPr>
      </w:pP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t>Justin.</w:t>
      </w:r>
      <w:r w:rsidR="00F61AD5" w:rsidRPr="000D17E4">
        <w:rPr>
          <w:szCs w:val="24"/>
        </w:rPr>
        <w:t>A</w:t>
      </w:r>
      <w:r w:rsidRPr="000D17E4">
        <w:rPr>
          <w:szCs w:val="24"/>
        </w:rPr>
        <w:t>dkins@puc.texas.gov</w:t>
      </w:r>
    </w:p>
    <w:p w14:paraId="3D78C4E2" w14:textId="77777777" w:rsidR="00042650" w:rsidRDefault="00042650" w:rsidP="00123ACD">
      <w:pPr>
        <w:pStyle w:val="Docketnumber"/>
        <w:rPr>
          <w:sz w:val="24"/>
          <w:szCs w:val="24"/>
        </w:rPr>
      </w:pPr>
    </w:p>
    <w:p w14:paraId="64F9EC67" w14:textId="77777777" w:rsidR="00A628E9" w:rsidRDefault="00A628E9" w:rsidP="00123ACD">
      <w:pPr>
        <w:pStyle w:val="Docketnumber"/>
        <w:rPr>
          <w:sz w:val="24"/>
          <w:szCs w:val="24"/>
        </w:rPr>
      </w:pPr>
    </w:p>
    <w:p w14:paraId="2AB79C19" w14:textId="77777777" w:rsidR="00042650" w:rsidRDefault="00042650" w:rsidP="00123ACD">
      <w:pPr>
        <w:pStyle w:val="Docketnumber"/>
        <w:rPr>
          <w:sz w:val="24"/>
          <w:szCs w:val="24"/>
        </w:rPr>
      </w:pPr>
    </w:p>
    <w:p w14:paraId="3DB1EB32" w14:textId="60EC296C" w:rsidR="0007797C" w:rsidRDefault="0007797C" w:rsidP="00123ACD">
      <w:pPr>
        <w:pStyle w:val="Docketnumber"/>
        <w:rPr>
          <w:sz w:val="24"/>
          <w:szCs w:val="24"/>
        </w:rPr>
      </w:pPr>
      <w:r w:rsidRPr="000D17E4">
        <w:rPr>
          <w:sz w:val="24"/>
          <w:szCs w:val="24"/>
        </w:rPr>
        <w:t>docket no. 50</w:t>
      </w:r>
      <w:r w:rsidR="00742142" w:rsidRPr="000D17E4">
        <w:rPr>
          <w:sz w:val="24"/>
          <w:szCs w:val="24"/>
        </w:rPr>
        <w:t>9</w:t>
      </w:r>
      <w:r w:rsidR="00123ACD" w:rsidRPr="000D17E4">
        <w:rPr>
          <w:sz w:val="24"/>
          <w:szCs w:val="24"/>
        </w:rPr>
        <w:t>27</w:t>
      </w:r>
    </w:p>
    <w:p w14:paraId="5EFDF2DE" w14:textId="77777777" w:rsidR="00042650" w:rsidRPr="000D17E4" w:rsidRDefault="00042650" w:rsidP="00123ACD">
      <w:pPr>
        <w:pStyle w:val="Docketnumber"/>
        <w:rPr>
          <w:sz w:val="24"/>
          <w:szCs w:val="24"/>
        </w:rPr>
      </w:pPr>
    </w:p>
    <w:p w14:paraId="19F461D3" w14:textId="40739314" w:rsidR="00B90008" w:rsidRPr="000D17E4" w:rsidRDefault="00B90008" w:rsidP="00123ACD">
      <w:pPr>
        <w:keepNext/>
        <w:jc w:val="center"/>
        <w:rPr>
          <w:b/>
          <w:szCs w:val="24"/>
        </w:rPr>
      </w:pPr>
      <w:r w:rsidRPr="000D17E4">
        <w:rPr>
          <w:b/>
          <w:szCs w:val="24"/>
        </w:rPr>
        <w:t>CERTIFICATE OF SERVICE</w:t>
      </w:r>
    </w:p>
    <w:p w14:paraId="2E14E02C" w14:textId="77777777" w:rsidR="00123ACD" w:rsidRPr="000D17E4" w:rsidRDefault="00123ACD" w:rsidP="00123ACD">
      <w:pPr>
        <w:keepNext/>
        <w:jc w:val="center"/>
        <w:rPr>
          <w:b/>
          <w:szCs w:val="24"/>
        </w:rPr>
      </w:pPr>
    </w:p>
    <w:p w14:paraId="4F59A4B5" w14:textId="2F369E97" w:rsidR="00B90008" w:rsidRPr="000D17E4" w:rsidRDefault="00B90008" w:rsidP="00B90008">
      <w:pPr>
        <w:keepNext/>
        <w:spacing w:line="360" w:lineRule="auto"/>
        <w:ind w:firstLine="720"/>
        <w:rPr>
          <w:szCs w:val="24"/>
        </w:rPr>
      </w:pPr>
      <w:r w:rsidRPr="000D17E4">
        <w:rPr>
          <w:szCs w:val="24"/>
        </w:rPr>
        <w:t xml:space="preserve">I certify that, unless otherwise ordered by the presiding officer, notice of the filing of this document was provided to all parties of record via electronic mail on </w:t>
      </w:r>
      <w:r w:rsidRPr="000D17E4">
        <w:rPr>
          <w:szCs w:val="24"/>
        </w:rPr>
        <w:fldChar w:fldCharType="begin"/>
      </w:r>
      <w:r w:rsidRPr="000D17E4">
        <w:rPr>
          <w:szCs w:val="24"/>
        </w:rPr>
        <w:instrText xml:space="preserve"> DATE \@ "MMMM d, yyyy" </w:instrText>
      </w:r>
      <w:r w:rsidRPr="000D17E4">
        <w:rPr>
          <w:szCs w:val="24"/>
        </w:rPr>
        <w:fldChar w:fldCharType="separate"/>
      </w:r>
      <w:r w:rsidR="00D86047">
        <w:rPr>
          <w:noProof/>
          <w:szCs w:val="24"/>
        </w:rPr>
        <w:t>August 21, 2020</w:t>
      </w:r>
      <w:r w:rsidRPr="000D17E4">
        <w:rPr>
          <w:szCs w:val="24"/>
        </w:rPr>
        <w:fldChar w:fldCharType="end"/>
      </w:r>
      <w:r w:rsidRPr="000D17E4">
        <w:rPr>
          <w:szCs w:val="24"/>
        </w:rPr>
        <w:t>, in accordance with the Order Suspending Rules, issued in Project No. 50664.</w:t>
      </w:r>
    </w:p>
    <w:p w14:paraId="3D10916A" w14:textId="77777777" w:rsidR="00B90008" w:rsidRPr="000D17E4" w:rsidRDefault="00B90008" w:rsidP="00B90008">
      <w:pPr>
        <w:keepNext/>
        <w:spacing w:line="360" w:lineRule="auto"/>
        <w:ind w:firstLine="720"/>
        <w:rPr>
          <w:szCs w:val="24"/>
        </w:rPr>
      </w:pPr>
    </w:p>
    <w:p w14:paraId="3FA76B4C" w14:textId="116A846D" w:rsidR="00B90008" w:rsidRPr="000D17E4" w:rsidRDefault="00B90008" w:rsidP="00B90008">
      <w:pPr>
        <w:pStyle w:val="Normaldouble"/>
        <w:spacing w:line="240" w:lineRule="auto"/>
        <w:rPr>
          <w:szCs w:val="24"/>
        </w:rPr>
      </w:pP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u w:val="single"/>
        </w:rPr>
        <w:t>/s/ Justin C. Adkins</w:t>
      </w:r>
      <w:r w:rsidRPr="000D17E4">
        <w:rPr>
          <w:szCs w:val="24"/>
        </w:rPr>
        <w:t>_______</w:t>
      </w:r>
    </w:p>
    <w:p w14:paraId="14CC09A5" w14:textId="77777777" w:rsidR="00B90008" w:rsidRPr="000D17E4" w:rsidRDefault="00B90008" w:rsidP="00B90008">
      <w:pPr>
        <w:keepNext/>
        <w:spacing w:line="360" w:lineRule="auto"/>
        <w:ind w:left="4320" w:firstLine="720"/>
        <w:rPr>
          <w:szCs w:val="24"/>
        </w:rPr>
      </w:pPr>
      <w:r w:rsidRPr="000D17E4">
        <w:rPr>
          <w:szCs w:val="24"/>
        </w:rPr>
        <w:t>Justin C. Adkins</w:t>
      </w:r>
    </w:p>
    <w:p w14:paraId="1FC5C933" w14:textId="6E34465B" w:rsidR="0038776A" w:rsidRPr="000D17E4" w:rsidRDefault="0038776A" w:rsidP="00B90008">
      <w:pPr>
        <w:pStyle w:val="Docketnumber"/>
        <w:rPr>
          <w:szCs w:val="24"/>
        </w:rPr>
      </w:pPr>
    </w:p>
    <w:sectPr w:rsidR="0038776A" w:rsidRPr="000D17E4">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41E3F7" w14:textId="77777777" w:rsidR="00C17953" w:rsidRDefault="00C17953">
      <w:r>
        <w:separator/>
      </w:r>
    </w:p>
  </w:endnote>
  <w:endnote w:type="continuationSeparator" w:id="0">
    <w:p w14:paraId="5929C4AD" w14:textId="77777777" w:rsidR="00C17953" w:rsidRDefault="00C17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41C8D"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7483C0A"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5D9F9"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9B3B8B">
      <w:rPr>
        <w:rStyle w:val="PageNumber"/>
        <w:noProof/>
      </w:rPr>
      <w:t>2</w:t>
    </w:r>
    <w:r>
      <w:rPr>
        <w:rStyle w:val="PageNumber"/>
      </w:rPr>
      <w:fldChar w:fldCharType="end"/>
    </w:r>
  </w:p>
  <w:p w14:paraId="16C7F76E" w14:textId="77777777" w:rsidR="009C1544" w:rsidRDefault="009C1544" w:rsidP="009B61E3">
    <w:pPr>
      <w:pStyle w:val="Footer"/>
      <w:framePr w:wrap="around" w:vAnchor="text" w:hAnchor="page" w:x="1702" w:y="61"/>
      <w:rPr>
        <w:rStyle w:val="PageNumber"/>
      </w:rPr>
    </w:pPr>
  </w:p>
  <w:p w14:paraId="106C05DD"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C470F0" w14:textId="77777777" w:rsidR="00C17953" w:rsidRDefault="00C17953">
      <w:r>
        <w:separator/>
      </w:r>
    </w:p>
  </w:footnote>
  <w:footnote w:type="continuationSeparator" w:id="0">
    <w:p w14:paraId="2F945694" w14:textId="77777777" w:rsidR="00C17953" w:rsidRDefault="00C17953">
      <w:r>
        <w:continuationSeparator/>
      </w:r>
    </w:p>
  </w:footnote>
  <w:footnote w:id="1">
    <w:p w14:paraId="0A97DC9C" w14:textId="61ACAFBF" w:rsidR="00CF2F91" w:rsidRDefault="00CF2F91" w:rsidP="00A628E9">
      <w:pPr>
        <w:pStyle w:val="FootnoteText"/>
        <w:spacing w:after="120"/>
        <w:ind w:firstLine="720"/>
      </w:pPr>
      <w:r>
        <w:rPr>
          <w:rStyle w:val="FootnoteReference"/>
        </w:rPr>
        <w:footnoteRef/>
      </w:r>
      <w:r>
        <w:t xml:space="preserve">  T</w:t>
      </w:r>
      <w:r w:rsidR="00AB119D">
        <w:t>WC</w:t>
      </w:r>
      <w:r>
        <w:t xml:space="preserve"> </w:t>
      </w:r>
      <w:r w:rsidRPr="00CF2F91">
        <w:t>§</w:t>
      </w:r>
      <w:r w:rsidR="00AB119D">
        <w:t xml:space="preserve"> 13.248</w:t>
      </w:r>
      <w:r w:rsidR="00086404">
        <w:t xml:space="preserve"> (emphasis added).</w:t>
      </w:r>
    </w:p>
  </w:footnote>
  <w:footnote w:id="2">
    <w:p w14:paraId="322A8FF2" w14:textId="480CF376" w:rsidR="00CF2F91" w:rsidRDefault="00CF2F91" w:rsidP="00A628E9">
      <w:pPr>
        <w:pStyle w:val="FootnoteText"/>
        <w:spacing w:after="100" w:afterAutospacing="1"/>
        <w:ind w:firstLine="720"/>
      </w:pPr>
      <w:r>
        <w:rPr>
          <w:rStyle w:val="FootnoteReference"/>
        </w:rPr>
        <w:footnoteRef/>
      </w:r>
      <w:r>
        <w:t xml:space="preserve">  </w:t>
      </w:r>
      <w:r w:rsidRPr="00641387">
        <w:rPr>
          <w:color w:val="222222"/>
          <w:szCs w:val="24"/>
          <w:shd w:val="clear" w:color="auto" w:fill="FFFFFF"/>
        </w:rPr>
        <w:t>16 T</w:t>
      </w:r>
      <w:r>
        <w:rPr>
          <w:color w:val="222222"/>
          <w:szCs w:val="24"/>
          <w:shd w:val="clear" w:color="auto" w:fill="FFFFFF"/>
        </w:rPr>
        <w:t>AC</w:t>
      </w:r>
      <w:r w:rsidRPr="00641387">
        <w:rPr>
          <w:color w:val="222222"/>
          <w:szCs w:val="24"/>
          <w:shd w:val="clear" w:color="auto" w:fill="FFFFFF"/>
        </w:rPr>
        <w:t xml:space="preserve"> § 24.253</w:t>
      </w:r>
      <w:r w:rsidR="00AB119D">
        <w:rPr>
          <w:color w:val="222222"/>
          <w:szCs w:val="24"/>
          <w:shd w:val="clear" w:color="auto" w:fill="FFFFFF"/>
        </w:rPr>
        <w:t xml:space="preserve">(a) </w:t>
      </w:r>
      <w:r w:rsidR="00086404">
        <w:rPr>
          <w:color w:val="222222"/>
          <w:szCs w:val="24"/>
          <w:shd w:val="clear" w:color="auto" w:fill="FFFFFF"/>
        </w:rPr>
        <w:t>(</w:t>
      </w:r>
      <w:r w:rsidR="00AB119D">
        <w:rPr>
          <w:color w:val="222222"/>
          <w:szCs w:val="24"/>
          <w:shd w:val="clear" w:color="auto" w:fill="FFFFFF"/>
        </w:rPr>
        <w:t>provid</w:t>
      </w:r>
      <w:r w:rsidR="00086404">
        <w:rPr>
          <w:color w:val="222222"/>
          <w:szCs w:val="24"/>
          <w:shd w:val="clear" w:color="auto" w:fill="FFFFFF"/>
        </w:rPr>
        <w:t>ing</w:t>
      </w:r>
      <w:r w:rsidR="00AB119D">
        <w:rPr>
          <w:color w:val="222222"/>
          <w:szCs w:val="24"/>
          <w:shd w:val="clear" w:color="auto" w:fill="FFFFFF"/>
        </w:rPr>
        <w:t xml:space="preserve"> that “contracts between retail public utilities designating areas</w:t>
      </w:r>
      <w:r w:rsidR="00EF0D53">
        <w:rPr>
          <w:color w:val="222222"/>
          <w:szCs w:val="24"/>
          <w:shd w:val="clear" w:color="auto" w:fill="FFFFFF"/>
        </w:rPr>
        <w:t xml:space="preserve"> to be served and customers to be served by those retail public utilities are valid and enforceable and are incorporated into the corresponding certificates of convenience and necessity (CCNs).”</w:t>
      </w:r>
      <w:r w:rsidR="00086404">
        <w:rPr>
          <w:color w:val="222222"/>
          <w:szCs w:val="24"/>
          <w:shd w:val="clear" w:color="auto" w:fill="FFFFFF"/>
        </w:rPr>
        <w:t>).</w:t>
      </w:r>
    </w:p>
  </w:footnote>
  <w:footnote w:id="3">
    <w:p w14:paraId="2C57BDF5" w14:textId="6E290B98" w:rsidR="00EF0D53" w:rsidRPr="00EF0D53" w:rsidRDefault="00EF0D53" w:rsidP="00A628E9">
      <w:pPr>
        <w:pStyle w:val="FootnoteText"/>
        <w:spacing w:after="120"/>
        <w:ind w:firstLine="720"/>
      </w:pPr>
      <w:r>
        <w:rPr>
          <w:rStyle w:val="FootnoteReference"/>
        </w:rPr>
        <w:footnoteRef/>
      </w:r>
      <w:r>
        <w:t xml:space="preserve">  </w:t>
      </w:r>
      <w:r w:rsidR="00086404">
        <w:rPr>
          <w:i/>
          <w:iCs/>
          <w:color w:val="222222"/>
          <w:szCs w:val="24"/>
          <w:shd w:val="clear" w:color="auto" w:fill="FFFFFF"/>
        </w:rPr>
        <w:t>Id.</w:t>
      </w:r>
      <w:r w:rsidR="00086404">
        <w:t xml:space="preserve"> (</w:t>
      </w:r>
      <w:r>
        <w:t xml:space="preserve">“Nothing in this provision negates the requirements of TWC </w:t>
      </w:r>
      <w:r w:rsidRPr="00641387">
        <w:rPr>
          <w:color w:val="222222"/>
          <w:szCs w:val="24"/>
          <w:shd w:val="clear" w:color="auto" w:fill="FFFFFF"/>
        </w:rPr>
        <w:t>§</w:t>
      </w:r>
      <w:r>
        <w:rPr>
          <w:color w:val="222222"/>
          <w:szCs w:val="24"/>
          <w:shd w:val="clear" w:color="auto" w:fill="FFFFFF"/>
        </w:rPr>
        <w:t xml:space="preserve"> 13.301 to obtain a new CCN and document the transfer of assets and facilities between retail public utilities.”</w:t>
      </w:r>
      <w:r w:rsidR="00086404">
        <w:rPr>
          <w:color w:val="222222"/>
          <w:szCs w:val="24"/>
          <w:shd w:val="clear" w:color="auto" w:fill="FFFFFF"/>
        </w:rPr>
        <w:t>).</w:t>
      </w:r>
    </w:p>
  </w:footnote>
  <w:footnote w:id="4">
    <w:p w14:paraId="6B402DCA" w14:textId="556A72C6" w:rsidR="00086404" w:rsidRDefault="00086404" w:rsidP="00086404">
      <w:pPr>
        <w:pStyle w:val="FootnoteText"/>
        <w:spacing w:after="120"/>
      </w:pPr>
      <w:r>
        <w:tab/>
      </w:r>
      <w:r>
        <w:rPr>
          <w:rStyle w:val="FootnoteReference"/>
        </w:rPr>
        <w:footnoteRef/>
      </w:r>
      <w:r>
        <w:t xml:space="preserve">  The City of Mesquite’s Response to the Commission Staff’s Recommendation on Administrative </w:t>
      </w:r>
      <w:proofErr w:type="gramStart"/>
      <w:r>
        <w:t>Completeness, and</w:t>
      </w:r>
      <w:proofErr w:type="gramEnd"/>
      <w:r>
        <w:t xml:space="preserve"> Proposed Procedural Schedule at 1-2 (Jul. 27, 2020).</w:t>
      </w:r>
    </w:p>
  </w:footnote>
  <w:footnote w:id="5">
    <w:p w14:paraId="7247CD15" w14:textId="685D6289" w:rsidR="00086404" w:rsidRDefault="00086404" w:rsidP="00782806">
      <w:pPr>
        <w:pStyle w:val="FootnoteText"/>
        <w:spacing w:after="120"/>
      </w:pPr>
      <w:r>
        <w:tab/>
      </w:r>
      <w:r>
        <w:rPr>
          <w:rStyle w:val="FootnoteReference"/>
        </w:rPr>
        <w:footnoteRef/>
      </w:r>
      <w:r>
        <w:t xml:space="preserve">  </w:t>
      </w:r>
      <w:r w:rsidRPr="00782806">
        <w:rPr>
          <w:i/>
          <w:iCs/>
        </w:rPr>
        <w:t>Id</w:t>
      </w:r>
      <w:r>
        <w:t xml:space="preserve">. at </w:t>
      </w:r>
      <w:r w:rsidR="00782806">
        <w:t>2.</w:t>
      </w:r>
    </w:p>
  </w:footnote>
  <w:footnote w:id="6">
    <w:p w14:paraId="715FA14B" w14:textId="4BE17A56" w:rsidR="00782806" w:rsidRDefault="00782806" w:rsidP="00A628E9">
      <w:pPr>
        <w:pStyle w:val="FootnoteText"/>
        <w:spacing w:after="120"/>
      </w:pPr>
      <w:r>
        <w:tab/>
      </w:r>
      <w:r>
        <w:rPr>
          <w:rStyle w:val="FootnoteReference"/>
        </w:rPr>
        <w:footnoteRef/>
      </w:r>
      <w:r>
        <w:t xml:space="preserve">  </w:t>
      </w:r>
      <w:r w:rsidRPr="00641387">
        <w:rPr>
          <w:color w:val="222222"/>
          <w:szCs w:val="24"/>
          <w:shd w:val="clear" w:color="auto" w:fill="FFFFFF"/>
        </w:rPr>
        <w:t>16 T</w:t>
      </w:r>
      <w:r>
        <w:rPr>
          <w:color w:val="222222"/>
          <w:szCs w:val="24"/>
          <w:shd w:val="clear" w:color="auto" w:fill="FFFFFF"/>
        </w:rPr>
        <w:t>AC</w:t>
      </w:r>
      <w:r w:rsidRPr="00641387">
        <w:rPr>
          <w:color w:val="222222"/>
          <w:szCs w:val="24"/>
          <w:shd w:val="clear" w:color="auto" w:fill="FFFFFF"/>
        </w:rPr>
        <w:t xml:space="preserve"> § 24</w:t>
      </w:r>
      <w:r>
        <w:rPr>
          <w:color w:val="222222"/>
          <w:szCs w:val="24"/>
          <w:shd w:val="clear" w:color="auto" w:fill="FFFFFF"/>
        </w:rPr>
        <w:t xml:space="preserve">.3(31) (including political subdivisions). </w:t>
      </w:r>
      <w:r>
        <w:t xml:space="preserve"> </w:t>
      </w:r>
    </w:p>
  </w:footnote>
  <w:footnote w:id="7">
    <w:p w14:paraId="6B87FFB0" w14:textId="647DDF04" w:rsidR="00782806" w:rsidRDefault="00782806" w:rsidP="00A628E9">
      <w:pPr>
        <w:pStyle w:val="FootnoteText"/>
        <w:spacing w:after="120"/>
      </w:pPr>
      <w:r>
        <w:tab/>
      </w:r>
      <w:r>
        <w:rPr>
          <w:rStyle w:val="FootnoteReference"/>
        </w:rPr>
        <w:footnoteRef/>
      </w:r>
      <w:r>
        <w:t xml:space="preserve">  </w:t>
      </w:r>
      <w:r w:rsidRPr="00641387">
        <w:rPr>
          <w:color w:val="222222"/>
          <w:szCs w:val="24"/>
          <w:shd w:val="clear" w:color="auto" w:fill="FFFFFF"/>
        </w:rPr>
        <w:t>16 T</w:t>
      </w:r>
      <w:r>
        <w:rPr>
          <w:color w:val="222222"/>
          <w:szCs w:val="24"/>
          <w:shd w:val="clear" w:color="auto" w:fill="FFFFFF"/>
        </w:rPr>
        <w:t>AC</w:t>
      </w:r>
      <w:r w:rsidRPr="00641387">
        <w:rPr>
          <w:color w:val="222222"/>
          <w:szCs w:val="24"/>
          <w:shd w:val="clear" w:color="auto" w:fill="FFFFFF"/>
        </w:rPr>
        <w:t xml:space="preserve"> § 24</w:t>
      </w:r>
      <w:r>
        <w:rPr>
          <w:color w:val="222222"/>
          <w:szCs w:val="24"/>
          <w:shd w:val="clear" w:color="auto" w:fill="FFFFFF"/>
        </w:rPr>
        <w:t xml:space="preserve">.3(39) (excluding political subdivisions). </w:t>
      </w:r>
      <w:r>
        <w:t xml:space="preserve">  </w:t>
      </w:r>
    </w:p>
  </w:footnote>
  <w:footnote w:id="8">
    <w:p w14:paraId="7699F841" w14:textId="20FB10E5" w:rsidR="000A219B" w:rsidRDefault="000A219B" w:rsidP="00A628E9">
      <w:pPr>
        <w:pStyle w:val="FootnoteText"/>
        <w:spacing w:after="120"/>
      </w:pPr>
      <w:r>
        <w:tab/>
      </w:r>
      <w:r>
        <w:rPr>
          <w:rStyle w:val="FootnoteReference"/>
        </w:rPr>
        <w:footnoteRef/>
      </w:r>
      <w:r>
        <w:t xml:space="preserve">  16 TAC </w:t>
      </w:r>
      <w:r w:rsidRPr="00641387">
        <w:rPr>
          <w:color w:val="222222"/>
          <w:szCs w:val="24"/>
          <w:shd w:val="clear" w:color="auto" w:fill="FFFFFF"/>
        </w:rPr>
        <w:t>§ 24</w:t>
      </w:r>
      <w:r>
        <w:rPr>
          <w:color w:val="222222"/>
          <w:szCs w:val="24"/>
          <w:shd w:val="clear" w:color="auto" w:fill="FFFFFF"/>
        </w:rPr>
        <w:t>.239(a).</w:t>
      </w:r>
    </w:p>
  </w:footnote>
  <w:footnote w:id="9">
    <w:p w14:paraId="608AC5F9" w14:textId="32D30A95" w:rsidR="006A4189" w:rsidRDefault="006A4189" w:rsidP="00A628E9">
      <w:pPr>
        <w:pStyle w:val="FootnoteText"/>
        <w:spacing w:after="120"/>
      </w:pPr>
      <w:r>
        <w:tab/>
      </w:r>
      <w:r>
        <w:rPr>
          <w:rStyle w:val="FootnoteReference"/>
        </w:rPr>
        <w:footnoteRef/>
      </w:r>
      <w:r>
        <w:t xml:space="preserve">  </w:t>
      </w:r>
      <w:r w:rsidRPr="00782806">
        <w:rPr>
          <w:i/>
          <w:iCs/>
        </w:rPr>
        <w:t>Id</w:t>
      </w:r>
      <w:r>
        <w:t xml:space="preserve">.  </w:t>
      </w:r>
    </w:p>
  </w:footnote>
  <w:footnote w:id="10">
    <w:p w14:paraId="22D03D3E" w14:textId="2AFC0D70" w:rsidR="00641387" w:rsidRDefault="00641387" w:rsidP="00A628E9">
      <w:pPr>
        <w:pStyle w:val="FootnoteText"/>
        <w:spacing w:after="120"/>
        <w:ind w:firstLine="720"/>
      </w:pPr>
      <w:r>
        <w:rPr>
          <w:rStyle w:val="FootnoteReference"/>
        </w:rPr>
        <w:footnoteRef/>
      </w:r>
      <w:r>
        <w:t xml:space="preserve">  </w:t>
      </w:r>
      <w:r w:rsidR="00EF0D53">
        <w:t xml:space="preserve">TWC </w:t>
      </w:r>
      <w:r w:rsidR="00EF0D53" w:rsidRPr="00AB119D">
        <w:rPr>
          <w:color w:val="222222"/>
          <w:szCs w:val="24"/>
          <w:shd w:val="clear" w:color="auto" w:fill="FFFFFF"/>
        </w:rPr>
        <w:t>§</w:t>
      </w:r>
      <w:r w:rsidR="00EF0D53">
        <w:rPr>
          <w:color w:val="222222"/>
          <w:szCs w:val="24"/>
          <w:shd w:val="clear" w:color="auto" w:fill="FFFFFF"/>
        </w:rPr>
        <w:t xml:space="preserve"> 13.301(b)</w:t>
      </w:r>
      <w:r w:rsidR="00086404">
        <w:rPr>
          <w:color w:val="222222"/>
          <w:szCs w:val="24"/>
          <w:shd w:val="clear" w:color="auto" w:fill="FFFFFF"/>
        </w:rPr>
        <w:t>.</w:t>
      </w:r>
    </w:p>
  </w:footnote>
  <w:footnote w:id="11">
    <w:p w14:paraId="4B2D1DD6" w14:textId="60CF79FA" w:rsidR="00641387" w:rsidRDefault="00641387" w:rsidP="00A628E9">
      <w:pPr>
        <w:pStyle w:val="FootnoteText"/>
        <w:spacing w:after="120"/>
        <w:ind w:firstLine="720"/>
      </w:pPr>
      <w:r>
        <w:rPr>
          <w:rStyle w:val="FootnoteReference"/>
        </w:rPr>
        <w:footnoteRef/>
      </w:r>
      <w:r>
        <w:t xml:space="preserve">  </w:t>
      </w:r>
      <w:r w:rsidR="00B40079" w:rsidRPr="00B40079">
        <w:t>TWC § 13.301(</w:t>
      </w:r>
      <w:r w:rsidR="00B40079">
        <w:t>d</w:t>
      </w:r>
      <w:r w:rsidR="00B40079" w:rsidRPr="00B40079">
        <w:t>)</w:t>
      </w:r>
      <w:r w:rsidR="00086404">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10A5FEB"/>
    <w:multiLevelType w:val="multilevel"/>
    <w:tmpl w:val="10E80CE4"/>
    <w:lvl w:ilvl="0">
      <w:start w:val="5"/>
      <w:numFmt w:val="decimal"/>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1E47CBE"/>
    <w:multiLevelType w:val="multilevel"/>
    <w:tmpl w:val="A8789D42"/>
    <w:lvl w:ilvl="0">
      <w:start w:val="1"/>
      <w:numFmt w:val="lowerRoman"/>
      <w:lvlText w:val="%1."/>
      <w:lvlJc w:val="left"/>
      <w:pPr>
        <w:tabs>
          <w:tab w:val="left" w:pos="432"/>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C9F24C6"/>
    <w:multiLevelType w:val="multilevel"/>
    <w:tmpl w:val="D22C9026"/>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374464A"/>
    <w:multiLevelType w:val="multilevel"/>
    <w:tmpl w:val="793EC516"/>
    <w:lvl w:ilvl="0">
      <w:start w:val="1"/>
      <w:numFmt w:val="lowerRoman"/>
      <w:lvlText w:val="%1."/>
      <w:lvlJc w:val="left"/>
      <w:pPr>
        <w:tabs>
          <w:tab w:val="left" w:pos="288"/>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AD73F5E"/>
    <w:multiLevelType w:val="multilevel"/>
    <w:tmpl w:val="5E9C02D0"/>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D2E6D47"/>
    <w:multiLevelType w:val="multilevel"/>
    <w:tmpl w:val="1CC61FCA"/>
    <w:lvl w:ilvl="0">
      <w:start w:val="1"/>
      <w:numFmt w:val="lowerRoman"/>
      <w:lvlText w:val="%1."/>
      <w:lvlJc w:val="left"/>
      <w:pPr>
        <w:tabs>
          <w:tab w:val="left" w:pos="432"/>
        </w:tabs>
        <w:ind w:left="720"/>
      </w:pPr>
      <w:rPr>
        <w:rFonts w:ascii="Times New Roman" w:eastAsia="Times New Roman" w:hAnsi="Times New Roman"/>
        <w:strike w:val="0"/>
        <w:color w:val="000000"/>
        <w:spacing w:val="4"/>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F8C47C7"/>
    <w:multiLevelType w:val="multilevel"/>
    <w:tmpl w:val="D9867B08"/>
    <w:lvl w:ilvl="0">
      <w:start w:val="3"/>
      <w:numFmt w:val="lowerRoman"/>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28242B9"/>
    <w:multiLevelType w:val="multilevel"/>
    <w:tmpl w:val="F9A03632"/>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4D2B2DDF"/>
    <w:multiLevelType w:val="multilevel"/>
    <w:tmpl w:val="0AA4A8F4"/>
    <w:lvl w:ilvl="0">
      <w:start w:val="1"/>
      <w:numFmt w:val="lowerRoman"/>
      <w:lvlText w:val="%1."/>
      <w:lvlJc w:val="left"/>
      <w:pPr>
        <w:tabs>
          <w:tab w:val="left" w:pos="288"/>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F761C8A"/>
    <w:multiLevelType w:val="multilevel"/>
    <w:tmpl w:val="34783386"/>
    <w:lvl w:ilvl="0">
      <w:start w:val="9"/>
      <w:numFmt w:val="decimal"/>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1FE10C9"/>
    <w:multiLevelType w:val="hybridMultilevel"/>
    <w:tmpl w:val="756AF1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6210D2"/>
    <w:multiLevelType w:val="hybridMultilevel"/>
    <w:tmpl w:val="41CA6860"/>
    <w:lvl w:ilvl="0" w:tplc="46325B2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6FB014D0"/>
    <w:multiLevelType w:val="multilevel"/>
    <w:tmpl w:val="2DE6263E"/>
    <w:lvl w:ilvl="0">
      <w:start w:val="1"/>
      <w:numFmt w:val="lowerRoman"/>
      <w:lvlText w:val="%1."/>
      <w:lvlJc w:val="left"/>
      <w:pPr>
        <w:tabs>
          <w:tab w:val="left" w:pos="360"/>
        </w:tabs>
        <w:ind w:left="720"/>
      </w:pPr>
      <w:rPr>
        <w:rFonts w:ascii="Times New Roman" w:eastAsia="Times New Roman" w:hAnsi="Times New Roman"/>
        <w:strike w:val="0"/>
        <w:color w:val="000000"/>
        <w:spacing w:val="2"/>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0414D4C"/>
    <w:multiLevelType w:val="multilevel"/>
    <w:tmpl w:val="2FF06A42"/>
    <w:lvl w:ilvl="0">
      <w:start w:val="1"/>
      <w:numFmt w:val="lowerRoman"/>
      <w:lvlText w:val="%1."/>
      <w:lvlJc w:val="left"/>
      <w:pPr>
        <w:tabs>
          <w:tab w:val="left" w:pos="432"/>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2EA50D1"/>
    <w:multiLevelType w:val="multilevel"/>
    <w:tmpl w:val="5F7A63CE"/>
    <w:lvl w:ilvl="0">
      <w:start w:val="1"/>
      <w:numFmt w:val="lowerRoman"/>
      <w:lvlText w:val="%1."/>
      <w:lvlJc w:val="left"/>
      <w:pPr>
        <w:tabs>
          <w:tab w:val="left" w:pos="432"/>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7524F58"/>
    <w:multiLevelType w:val="multilevel"/>
    <w:tmpl w:val="40FEDB58"/>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80228BC"/>
    <w:multiLevelType w:val="hybridMultilevel"/>
    <w:tmpl w:val="3042B9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7CA22B65"/>
    <w:multiLevelType w:val="multilevel"/>
    <w:tmpl w:val="E62A6E76"/>
    <w:lvl w:ilvl="0">
      <w:start w:val="15"/>
      <w:numFmt w:val="decimal"/>
      <w:lvlText w:val="%1."/>
      <w:lvlJc w:val="left"/>
      <w:pPr>
        <w:tabs>
          <w:tab w:val="left" w:pos="360"/>
        </w:tabs>
        <w:ind w:left="720"/>
      </w:pPr>
      <w:rPr>
        <w:rFonts w:ascii="Times New Roman" w:eastAsia="Times New Roman" w:hAnsi="Times New Roman"/>
        <w:strike w:val="0"/>
        <w:color w:val="000000"/>
        <w:spacing w:val="3"/>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26"/>
  </w:num>
  <w:num w:numId="3">
    <w:abstractNumId w:val="9"/>
  </w:num>
  <w:num w:numId="4">
    <w:abstractNumId w:val="3"/>
  </w:num>
  <w:num w:numId="5">
    <w:abstractNumId w:val="24"/>
  </w:num>
  <w:num w:numId="6">
    <w:abstractNumId w:val="23"/>
  </w:num>
  <w:num w:numId="7">
    <w:abstractNumId w:val="11"/>
  </w:num>
  <w:num w:numId="8">
    <w:abstractNumId w:val="12"/>
  </w:num>
  <w:num w:numId="9">
    <w:abstractNumId w:val="17"/>
  </w:num>
  <w:num w:numId="10">
    <w:abstractNumId w:val="16"/>
  </w:num>
  <w:num w:numId="11">
    <w:abstractNumId w:val="18"/>
  </w:num>
  <w:num w:numId="12">
    <w:abstractNumId w:val="10"/>
  </w:num>
  <w:num w:numId="13">
    <w:abstractNumId w:val="13"/>
  </w:num>
  <w:num w:numId="14">
    <w:abstractNumId w:val="1"/>
  </w:num>
  <w:num w:numId="15">
    <w:abstractNumId w:val="19"/>
  </w:num>
  <w:num w:numId="16">
    <w:abstractNumId w:val="20"/>
  </w:num>
  <w:num w:numId="17">
    <w:abstractNumId w:val="4"/>
  </w:num>
  <w:num w:numId="18">
    <w:abstractNumId w:val="14"/>
  </w:num>
  <w:num w:numId="19">
    <w:abstractNumId w:val="21"/>
  </w:num>
  <w:num w:numId="20">
    <w:abstractNumId w:val="5"/>
  </w:num>
  <w:num w:numId="21">
    <w:abstractNumId w:val="8"/>
  </w:num>
  <w:num w:numId="22">
    <w:abstractNumId w:val="6"/>
  </w:num>
  <w:num w:numId="23">
    <w:abstractNumId w:val="2"/>
  </w:num>
  <w:num w:numId="24">
    <w:abstractNumId w:val="7"/>
  </w:num>
  <w:num w:numId="25">
    <w:abstractNumId w:val="25"/>
  </w:num>
  <w:num w:numId="26">
    <w:abstractNumId w:val="22"/>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052D"/>
    <w:rsid w:val="0000107F"/>
    <w:rsid w:val="000038EE"/>
    <w:rsid w:val="00003FE4"/>
    <w:rsid w:val="00006869"/>
    <w:rsid w:val="00012E59"/>
    <w:rsid w:val="000134BB"/>
    <w:rsid w:val="00015160"/>
    <w:rsid w:val="000233F8"/>
    <w:rsid w:val="000264C3"/>
    <w:rsid w:val="00042650"/>
    <w:rsid w:val="00045794"/>
    <w:rsid w:val="00050EC3"/>
    <w:rsid w:val="000621BB"/>
    <w:rsid w:val="00071322"/>
    <w:rsid w:val="00071700"/>
    <w:rsid w:val="00072FE5"/>
    <w:rsid w:val="000767DB"/>
    <w:rsid w:val="0007797C"/>
    <w:rsid w:val="000857EC"/>
    <w:rsid w:val="00086404"/>
    <w:rsid w:val="00092B02"/>
    <w:rsid w:val="00092D85"/>
    <w:rsid w:val="0009361B"/>
    <w:rsid w:val="0009426E"/>
    <w:rsid w:val="00094D6D"/>
    <w:rsid w:val="000A0E9F"/>
    <w:rsid w:val="000A219B"/>
    <w:rsid w:val="000B10C9"/>
    <w:rsid w:val="000B163B"/>
    <w:rsid w:val="000B1812"/>
    <w:rsid w:val="000C4031"/>
    <w:rsid w:val="000C5A7C"/>
    <w:rsid w:val="000C6AF9"/>
    <w:rsid w:val="000D0E44"/>
    <w:rsid w:val="000D17E4"/>
    <w:rsid w:val="000D28B5"/>
    <w:rsid w:val="000D3CDD"/>
    <w:rsid w:val="000D4635"/>
    <w:rsid w:val="000D5F63"/>
    <w:rsid w:val="000E26FE"/>
    <w:rsid w:val="000E6961"/>
    <w:rsid w:val="000F1B5D"/>
    <w:rsid w:val="000F1F40"/>
    <w:rsid w:val="000F284D"/>
    <w:rsid w:val="000F6BEB"/>
    <w:rsid w:val="000F7F9C"/>
    <w:rsid w:val="00101E9A"/>
    <w:rsid w:val="00104BD4"/>
    <w:rsid w:val="001171A2"/>
    <w:rsid w:val="00122C66"/>
    <w:rsid w:val="00123772"/>
    <w:rsid w:val="00123ACD"/>
    <w:rsid w:val="00127224"/>
    <w:rsid w:val="00132C88"/>
    <w:rsid w:val="001337AB"/>
    <w:rsid w:val="001347B7"/>
    <w:rsid w:val="001370E3"/>
    <w:rsid w:val="00143BAC"/>
    <w:rsid w:val="00143DBB"/>
    <w:rsid w:val="00147053"/>
    <w:rsid w:val="00151409"/>
    <w:rsid w:val="00152E43"/>
    <w:rsid w:val="00162210"/>
    <w:rsid w:val="00166EF5"/>
    <w:rsid w:val="0016707F"/>
    <w:rsid w:val="00167865"/>
    <w:rsid w:val="00167B9A"/>
    <w:rsid w:val="00170C23"/>
    <w:rsid w:val="001711C0"/>
    <w:rsid w:val="0017204A"/>
    <w:rsid w:val="00172793"/>
    <w:rsid w:val="00176D68"/>
    <w:rsid w:val="00197531"/>
    <w:rsid w:val="001A2890"/>
    <w:rsid w:val="001A2D16"/>
    <w:rsid w:val="001A7DBE"/>
    <w:rsid w:val="001B0D9A"/>
    <w:rsid w:val="001C0EBF"/>
    <w:rsid w:val="001C28A6"/>
    <w:rsid w:val="001C38BF"/>
    <w:rsid w:val="001C3BDA"/>
    <w:rsid w:val="001D0EFA"/>
    <w:rsid w:val="001E0547"/>
    <w:rsid w:val="001E1E75"/>
    <w:rsid w:val="001E55D1"/>
    <w:rsid w:val="001F5FDD"/>
    <w:rsid w:val="00201516"/>
    <w:rsid w:val="0020243D"/>
    <w:rsid w:val="002034B3"/>
    <w:rsid w:val="0020473E"/>
    <w:rsid w:val="00213EAC"/>
    <w:rsid w:val="00214695"/>
    <w:rsid w:val="0021567A"/>
    <w:rsid w:val="00217977"/>
    <w:rsid w:val="0022173D"/>
    <w:rsid w:val="002241EF"/>
    <w:rsid w:val="00226C69"/>
    <w:rsid w:val="00227044"/>
    <w:rsid w:val="00230417"/>
    <w:rsid w:val="0023091D"/>
    <w:rsid w:val="002329B6"/>
    <w:rsid w:val="0024377E"/>
    <w:rsid w:val="00245AD0"/>
    <w:rsid w:val="00247F89"/>
    <w:rsid w:val="00253FE6"/>
    <w:rsid w:val="0025700B"/>
    <w:rsid w:val="00261AFE"/>
    <w:rsid w:val="002632C0"/>
    <w:rsid w:val="00270C7B"/>
    <w:rsid w:val="00271524"/>
    <w:rsid w:val="00272208"/>
    <w:rsid w:val="00282897"/>
    <w:rsid w:val="00283F39"/>
    <w:rsid w:val="00285A49"/>
    <w:rsid w:val="00286D26"/>
    <w:rsid w:val="0029005F"/>
    <w:rsid w:val="002914D1"/>
    <w:rsid w:val="00296BA8"/>
    <w:rsid w:val="002A360E"/>
    <w:rsid w:val="002A4485"/>
    <w:rsid w:val="002A4C69"/>
    <w:rsid w:val="002C1872"/>
    <w:rsid w:val="002C263C"/>
    <w:rsid w:val="002C4C90"/>
    <w:rsid w:val="002C4C99"/>
    <w:rsid w:val="002C5D86"/>
    <w:rsid w:val="002D170C"/>
    <w:rsid w:val="002D3A76"/>
    <w:rsid w:val="002D481E"/>
    <w:rsid w:val="002D543A"/>
    <w:rsid w:val="002D72CF"/>
    <w:rsid w:val="002E45FE"/>
    <w:rsid w:val="002E749D"/>
    <w:rsid w:val="002F08B6"/>
    <w:rsid w:val="002F479D"/>
    <w:rsid w:val="003021A2"/>
    <w:rsid w:val="003033F1"/>
    <w:rsid w:val="00303A45"/>
    <w:rsid w:val="00305298"/>
    <w:rsid w:val="00316ABF"/>
    <w:rsid w:val="00332458"/>
    <w:rsid w:val="00332BDC"/>
    <w:rsid w:val="003346A4"/>
    <w:rsid w:val="00336ACF"/>
    <w:rsid w:val="00341854"/>
    <w:rsid w:val="003455B0"/>
    <w:rsid w:val="00357C92"/>
    <w:rsid w:val="003602F6"/>
    <w:rsid w:val="00360A0C"/>
    <w:rsid w:val="00363E46"/>
    <w:rsid w:val="00374091"/>
    <w:rsid w:val="003744AE"/>
    <w:rsid w:val="00375F64"/>
    <w:rsid w:val="00382380"/>
    <w:rsid w:val="00384670"/>
    <w:rsid w:val="00384BB8"/>
    <w:rsid w:val="0038660B"/>
    <w:rsid w:val="0038776A"/>
    <w:rsid w:val="0039030E"/>
    <w:rsid w:val="00391CAF"/>
    <w:rsid w:val="00392B8D"/>
    <w:rsid w:val="0039363F"/>
    <w:rsid w:val="0039591B"/>
    <w:rsid w:val="00397341"/>
    <w:rsid w:val="003A1B53"/>
    <w:rsid w:val="003A1ECE"/>
    <w:rsid w:val="003A2B88"/>
    <w:rsid w:val="003A338C"/>
    <w:rsid w:val="003A53E1"/>
    <w:rsid w:val="003B12A2"/>
    <w:rsid w:val="003B6280"/>
    <w:rsid w:val="003B7656"/>
    <w:rsid w:val="003C0C4B"/>
    <w:rsid w:val="003C0E04"/>
    <w:rsid w:val="003C6393"/>
    <w:rsid w:val="003D152A"/>
    <w:rsid w:val="003D1D6C"/>
    <w:rsid w:val="003D2516"/>
    <w:rsid w:val="003E1AA5"/>
    <w:rsid w:val="003E7A59"/>
    <w:rsid w:val="003F72A0"/>
    <w:rsid w:val="00403B88"/>
    <w:rsid w:val="00404493"/>
    <w:rsid w:val="0041248F"/>
    <w:rsid w:val="00414B92"/>
    <w:rsid w:val="004177B1"/>
    <w:rsid w:val="00422A05"/>
    <w:rsid w:val="00423664"/>
    <w:rsid w:val="004259C2"/>
    <w:rsid w:val="00431973"/>
    <w:rsid w:val="00434247"/>
    <w:rsid w:val="00435C56"/>
    <w:rsid w:val="00437F13"/>
    <w:rsid w:val="00444FEA"/>
    <w:rsid w:val="004478B0"/>
    <w:rsid w:val="00450C29"/>
    <w:rsid w:val="00451ADC"/>
    <w:rsid w:val="00451FF5"/>
    <w:rsid w:val="004540A3"/>
    <w:rsid w:val="004540CD"/>
    <w:rsid w:val="00456693"/>
    <w:rsid w:val="00464A13"/>
    <w:rsid w:val="004668FF"/>
    <w:rsid w:val="00466FD6"/>
    <w:rsid w:val="00472755"/>
    <w:rsid w:val="00473325"/>
    <w:rsid w:val="00483D52"/>
    <w:rsid w:val="00485D02"/>
    <w:rsid w:val="00485D9D"/>
    <w:rsid w:val="00490341"/>
    <w:rsid w:val="00490A9A"/>
    <w:rsid w:val="00492C92"/>
    <w:rsid w:val="004933EC"/>
    <w:rsid w:val="004A25AE"/>
    <w:rsid w:val="004A4C04"/>
    <w:rsid w:val="004B4A42"/>
    <w:rsid w:val="004C4866"/>
    <w:rsid w:val="004D20DD"/>
    <w:rsid w:val="004D5E0E"/>
    <w:rsid w:val="004E170B"/>
    <w:rsid w:val="004E4207"/>
    <w:rsid w:val="004E5152"/>
    <w:rsid w:val="004E563C"/>
    <w:rsid w:val="004E5CA2"/>
    <w:rsid w:val="004F3113"/>
    <w:rsid w:val="005024E1"/>
    <w:rsid w:val="00517C97"/>
    <w:rsid w:val="00535DF6"/>
    <w:rsid w:val="0054012D"/>
    <w:rsid w:val="005452D0"/>
    <w:rsid w:val="005528A6"/>
    <w:rsid w:val="00553BD2"/>
    <w:rsid w:val="00555E35"/>
    <w:rsid w:val="005617AE"/>
    <w:rsid w:val="00561B98"/>
    <w:rsid w:val="0057620A"/>
    <w:rsid w:val="00587716"/>
    <w:rsid w:val="0059197A"/>
    <w:rsid w:val="00593A99"/>
    <w:rsid w:val="00595FDD"/>
    <w:rsid w:val="0059639F"/>
    <w:rsid w:val="00596A01"/>
    <w:rsid w:val="00596DB2"/>
    <w:rsid w:val="00597B34"/>
    <w:rsid w:val="005A31F1"/>
    <w:rsid w:val="005A652A"/>
    <w:rsid w:val="005B1A92"/>
    <w:rsid w:val="005B6597"/>
    <w:rsid w:val="005B76D0"/>
    <w:rsid w:val="005B7B7B"/>
    <w:rsid w:val="005C5115"/>
    <w:rsid w:val="005C59AE"/>
    <w:rsid w:val="005D0E47"/>
    <w:rsid w:val="005E2C48"/>
    <w:rsid w:val="005E77DC"/>
    <w:rsid w:val="005F09CB"/>
    <w:rsid w:val="005F1497"/>
    <w:rsid w:val="005F1771"/>
    <w:rsid w:val="005F3965"/>
    <w:rsid w:val="005F4F7A"/>
    <w:rsid w:val="006017D7"/>
    <w:rsid w:val="0060359F"/>
    <w:rsid w:val="006102D3"/>
    <w:rsid w:val="006105A0"/>
    <w:rsid w:val="00612E0D"/>
    <w:rsid w:val="00615565"/>
    <w:rsid w:val="006159E0"/>
    <w:rsid w:val="0061677C"/>
    <w:rsid w:val="00621AF5"/>
    <w:rsid w:val="006319BE"/>
    <w:rsid w:val="0063234F"/>
    <w:rsid w:val="00633065"/>
    <w:rsid w:val="00641387"/>
    <w:rsid w:val="0064292A"/>
    <w:rsid w:val="006470FE"/>
    <w:rsid w:val="00650A71"/>
    <w:rsid w:val="006570BC"/>
    <w:rsid w:val="00661D58"/>
    <w:rsid w:val="00662506"/>
    <w:rsid w:val="0066299F"/>
    <w:rsid w:val="00662F0A"/>
    <w:rsid w:val="006639AD"/>
    <w:rsid w:val="006651F5"/>
    <w:rsid w:val="0066794B"/>
    <w:rsid w:val="00672B9B"/>
    <w:rsid w:val="0068771C"/>
    <w:rsid w:val="00687DD6"/>
    <w:rsid w:val="00687ECC"/>
    <w:rsid w:val="00692AD3"/>
    <w:rsid w:val="006964B5"/>
    <w:rsid w:val="006A105D"/>
    <w:rsid w:val="006A4189"/>
    <w:rsid w:val="006B1EAD"/>
    <w:rsid w:val="006C2E8A"/>
    <w:rsid w:val="006C376D"/>
    <w:rsid w:val="006C736D"/>
    <w:rsid w:val="006D13DF"/>
    <w:rsid w:val="006D3B00"/>
    <w:rsid w:val="006D7DB2"/>
    <w:rsid w:val="006E3070"/>
    <w:rsid w:val="006E6D50"/>
    <w:rsid w:val="006E72CB"/>
    <w:rsid w:val="006F26DA"/>
    <w:rsid w:val="006F3A4D"/>
    <w:rsid w:val="006F3BE8"/>
    <w:rsid w:val="006F6EB7"/>
    <w:rsid w:val="00701F55"/>
    <w:rsid w:val="007028F4"/>
    <w:rsid w:val="007035E0"/>
    <w:rsid w:val="00706B1D"/>
    <w:rsid w:val="00706EA0"/>
    <w:rsid w:val="0071409A"/>
    <w:rsid w:val="007154AA"/>
    <w:rsid w:val="00721484"/>
    <w:rsid w:val="00721969"/>
    <w:rsid w:val="007241D9"/>
    <w:rsid w:val="007271CB"/>
    <w:rsid w:val="00734222"/>
    <w:rsid w:val="00735FE0"/>
    <w:rsid w:val="00736E45"/>
    <w:rsid w:val="00742142"/>
    <w:rsid w:val="00743CE0"/>
    <w:rsid w:val="00745A19"/>
    <w:rsid w:val="00745F27"/>
    <w:rsid w:val="007467E4"/>
    <w:rsid w:val="00750EC0"/>
    <w:rsid w:val="0075215A"/>
    <w:rsid w:val="0075253F"/>
    <w:rsid w:val="00752A91"/>
    <w:rsid w:val="0075420D"/>
    <w:rsid w:val="007636DB"/>
    <w:rsid w:val="00765020"/>
    <w:rsid w:val="00766674"/>
    <w:rsid w:val="007717F6"/>
    <w:rsid w:val="007726C7"/>
    <w:rsid w:val="007805C5"/>
    <w:rsid w:val="00782806"/>
    <w:rsid w:val="00785B05"/>
    <w:rsid w:val="00791658"/>
    <w:rsid w:val="007972AD"/>
    <w:rsid w:val="007A38A3"/>
    <w:rsid w:val="007A5F84"/>
    <w:rsid w:val="007B1473"/>
    <w:rsid w:val="007B5AE9"/>
    <w:rsid w:val="007B7FB8"/>
    <w:rsid w:val="007C074A"/>
    <w:rsid w:val="007C26C6"/>
    <w:rsid w:val="007C6863"/>
    <w:rsid w:val="007C7DCC"/>
    <w:rsid w:val="007D21B3"/>
    <w:rsid w:val="007D2BF7"/>
    <w:rsid w:val="007D4FDA"/>
    <w:rsid w:val="007D59AE"/>
    <w:rsid w:val="007D6179"/>
    <w:rsid w:val="007E4FD6"/>
    <w:rsid w:val="007E66CF"/>
    <w:rsid w:val="007F05DA"/>
    <w:rsid w:val="007F19FD"/>
    <w:rsid w:val="007F5EE0"/>
    <w:rsid w:val="007F7062"/>
    <w:rsid w:val="0080064A"/>
    <w:rsid w:val="008055AF"/>
    <w:rsid w:val="00805F8A"/>
    <w:rsid w:val="00805FB2"/>
    <w:rsid w:val="00813959"/>
    <w:rsid w:val="008146C8"/>
    <w:rsid w:val="00820B00"/>
    <w:rsid w:val="008261A0"/>
    <w:rsid w:val="008275DE"/>
    <w:rsid w:val="00827E46"/>
    <w:rsid w:val="00831018"/>
    <w:rsid w:val="00831906"/>
    <w:rsid w:val="00854627"/>
    <w:rsid w:val="00854779"/>
    <w:rsid w:val="00854EC6"/>
    <w:rsid w:val="00855A5A"/>
    <w:rsid w:val="00873122"/>
    <w:rsid w:val="008743C6"/>
    <w:rsid w:val="0088061E"/>
    <w:rsid w:val="008814ED"/>
    <w:rsid w:val="008821D9"/>
    <w:rsid w:val="00885CD1"/>
    <w:rsid w:val="008915EB"/>
    <w:rsid w:val="008947F4"/>
    <w:rsid w:val="008A0CD3"/>
    <w:rsid w:val="008A2D40"/>
    <w:rsid w:val="008A7F35"/>
    <w:rsid w:val="008B0CAF"/>
    <w:rsid w:val="008B5086"/>
    <w:rsid w:val="008C2AAD"/>
    <w:rsid w:val="008D0224"/>
    <w:rsid w:val="008D3B53"/>
    <w:rsid w:val="008D40F4"/>
    <w:rsid w:val="008D4CAE"/>
    <w:rsid w:val="008D585A"/>
    <w:rsid w:val="008E4957"/>
    <w:rsid w:val="008E5F5E"/>
    <w:rsid w:val="008E684E"/>
    <w:rsid w:val="008F1B72"/>
    <w:rsid w:val="008F1FDB"/>
    <w:rsid w:val="008F36DB"/>
    <w:rsid w:val="00903852"/>
    <w:rsid w:val="00906C49"/>
    <w:rsid w:val="00911CA1"/>
    <w:rsid w:val="00925917"/>
    <w:rsid w:val="00930B8D"/>
    <w:rsid w:val="00932E23"/>
    <w:rsid w:val="00933F91"/>
    <w:rsid w:val="00936A79"/>
    <w:rsid w:val="00940316"/>
    <w:rsid w:val="009410CB"/>
    <w:rsid w:val="00944CF8"/>
    <w:rsid w:val="00953708"/>
    <w:rsid w:val="00953B7B"/>
    <w:rsid w:val="00960F8F"/>
    <w:rsid w:val="00965618"/>
    <w:rsid w:val="009664C8"/>
    <w:rsid w:val="00971254"/>
    <w:rsid w:val="009741CA"/>
    <w:rsid w:val="00975123"/>
    <w:rsid w:val="00975A43"/>
    <w:rsid w:val="00991476"/>
    <w:rsid w:val="00996951"/>
    <w:rsid w:val="009A498F"/>
    <w:rsid w:val="009A6563"/>
    <w:rsid w:val="009A6AA5"/>
    <w:rsid w:val="009A7C7B"/>
    <w:rsid w:val="009A7E13"/>
    <w:rsid w:val="009B0C68"/>
    <w:rsid w:val="009B0D86"/>
    <w:rsid w:val="009B2BE7"/>
    <w:rsid w:val="009B303C"/>
    <w:rsid w:val="009B3451"/>
    <w:rsid w:val="009B3B8B"/>
    <w:rsid w:val="009B3D1B"/>
    <w:rsid w:val="009B4782"/>
    <w:rsid w:val="009B61E3"/>
    <w:rsid w:val="009B6EEF"/>
    <w:rsid w:val="009C1544"/>
    <w:rsid w:val="009C2666"/>
    <w:rsid w:val="009C4862"/>
    <w:rsid w:val="009C690A"/>
    <w:rsid w:val="009C6B97"/>
    <w:rsid w:val="009C7A09"/>
    <w:rsid w:val="009D3BA2"/>
    <w:rsid w:val="009D694B"/>
    <w:rsid w:val="009E324E"/>
    <w:rsid w:val="009E3A90"/>
    <w:rsid w:val="009E4865"/>
    <w:rsid w:val="009E53B8"/>
    <w:rsid w:val="009E68FE"/>
    <w:rsid w:val="009F3C45"/>
    <w:rsid w:val="009F4CE6"/>
    <w:rsid w:val="009F6C74"/>
    <w:rsid w:val="00A1058B"/>
    <w:rsid w:val="00A1461F"/>
    <w:rsid w:val="00A1685B"/>
    <w:rsid w:val="00A20D13"/>
    <w:rsid w:val="00A25538"/>
    <w:rsid w:val="00A265AF"/>
    <w:rsid w:val="00A26D1E"/>
    <w:rsid w:val="00A307DF"/>
    <w:rsid w:val="00A30819"/>
    <w:rsid w:val="00A357F1"/>
    <w:rsid w:val="00A363EE"/>
    <w:rsid w:val="00A36FC0"/>
    <w:rsid w:val="00A37740"/>
    <w:rsid w:val="00A42644"/>
    <w:rsid w:val="00A603FA"/>
    <w:rsid w:val="00A628E9"/>
    <w:rsid w:val="00A702F0"/>
    <w:rsid w:val="00A70979"/>
    <w:rsid w:val="00A714E3"/>
    <w:rsid w:val="00A747AD"/>
    <w:rsid w:val="00A75CE5"/>
    <w:rsid w:val="00A76E69"/>
    <w:rsid w:val="00A77470"/>
    <w:rsid w:val="00A82BFB"/>
    <w:rsid w:val="00A851D8"/>
    <w:rsid w:val="00A96F2C"/>
    <w:rsid w:val="00AA1D87"/>
    <w:rsid w:val="00AA1EF3"/>
    <w:rsid w:val="00AA212D"/>
    <w:rsid w:val="00AA4397"/>
    <w:rsid w:val="00AA4BF1"/>
    <w:rsid w:val="00AB119D"/>
    <w:rsid w:val="00AB232E"/>
    <w:rsid w:val="00AC2AD5"/>
    <w:rsid w:val="00AC4F67"/>
    <w:rsid w:val="00AC5BD9"/>
    <w:rsid w:val="00AD0A8A"/>
    <w:rsid w:val="00AD1E9F"/>
    <w:rsid w:val="00AD27C1"/>
    <w:rsid w:val="00AE1CB0"/>
    <w:rsid w:val="00AE4383"/>
    <w:rsid w:val="00AE4F84"/>
    <w:rsid w:val="00AE597A"/>
    <w:rsid w:val="00AF3657"/>
    <w:rsid w:val="00B01365"/>
    <w:rsid w:val="00B1063A"/>
    <w:rsid w:val="00B12542"/>
    <w:rsid w:val="00B26DE3"/>
    <w:rsid w:val="00B34890"/>
    <w:rsid w:val="00B40079"/>
    <w:rsid w:val="00B435B5"/>
    <w:rsid w:val="00B43827"/>
    <w:rsid w:val="00B43A8C"/>
    <w:rsid w:val="00B510F6"/>
    <w:rsid w:val="00B564B1"/>
    <w:rsid w:val="00B564B6"/>
    <w:rsid w:val="00B60060"/>
    <w:rsid w:val="00B60332"/>
    <w:rsid w:val="00B60618"/>
    <w:rsid w:val="00B651B9"/>
    <w:rsid w:val="00B71A98"/>
    <w:rsid w:val="00B801E5"/>
    <w:rsid w:val="00B80C4C"/>
    <w:rsid w:val="00B82BFE"/>
    <w:rsid w:val="00B867A0"/>
    <w:rsid w:val="00B90008"/>
    <w:rsid w:val="00B95568"/>
    <w:rsid w:val="00B955C6"/>
    <w:rsid w:val="00B971AD"/>
    <w:rsid w:val="00BA0223"/>
    <w:rsid w:val="00BA139E"/>
    <w:rsid w:val="00BA175C"/>
    <w:rsid w:val="00BA4DAB"/>
    <w:rsid w:val="00BA684F"/>
    <w:rsid w:val="00BB0FE8"/>
    <w:rsid w:val="00BC010F"/>
    <w:rsid w:val="00BC0D94"/>
    <w:rsid w:val="00BC3357"/>
    <w:rsid w:val="00BC4E5F"/>
    <w:rsid w:val="00BC587A"/>
    <w:rsid w:val="00BC5E64"/>
    <w:rsid w:val="00BD1CEC"/>
    <w:rsid w:val="00BD1E4A"/>
    <w:rsid w:val="00BD2203"/>
    <w:rsid w:val="00BD29F1"/>
    <w:rsid w:val="00BD2B73"/>
    <w:rsid w:val="00BD3D7A"/>
    <w:rsid w:val="00BE0033"/>
    <w:rsid w:val="00BE64B8"/>
    <w:rsid w:val="00BE6646"/>
    <w:rsid w:val="00BE67F2"/>
    <w:rsid w:val="00BF1E1D"/>
    <w:rsid w:val="00BF63C1"/>
    <w:rsid w:val="00BF68C9"/>
    <w:rsid w:val="00C10544"/>
    <w:rsid w:val="00C108E6"/>
    <w:rsid w:val="00C139E5"/>
    <w:rsid w:val="00C151D1"/>
    <w:rsid w:val="00C17953"/>
    <w:rsid w:val="00C22363"/>
    <w:rsid w:val="00C22F7D"/>
    <w:rsid w:val="00C23AFC"/>
    <w:rsid w:val="00C23DA4"/>
    <w:rsid w:val="00C25FEB"/>
    <w:rsid w:val="00C34BFD"/>
    <w:rsid w:val="00C417D0"/>
    <w:rsid w:val="00C42950"/>
    <w:rsid w:val="00C442AE"/>
    <w:rsid w:val="00C472A2"/>
    <w:rsid w:val="00C52FA8"/>
    <w:rsid w:val="00C541E5"/>
    <w:rsid w:val="00C55671"/>
    <w:rsid w:val="00C603C3"/>
    <w:rsid w:val="00C61F66"/>
    <w:rsid w:val="00C64532"/>
    <w:rsid w:val="00C7196E"/>
    <w:rsid w:val="00C76D48"/>
    <w:rsid w:val="00CA3F65"/>
    <w:rsid w:val="00CB13E6"/>
    <w:rsid w:val="00CB3671"/>
    <w:rsid w:val="00CB6492"/>
    <w:rsid w:val="00CC22BE"/>
    <w:rsid w:val="00CC2E19"/>
    <w:rsid w:val="00CC3603"/>
    <w:rsid w:val="00CC45F3"/>
    <w:rsid w:val="00CD1C62"/>
    <w:rsid w:val="00CD7193"/>
    <w:rsid w:val="00CE16ED"/>
    <w:rsid w:val="00CE6EF2"/>
    <w:rsid w:val="00CF2F91"/>
    <w:rsid w:val="00D01DC2"/>
    <w:rsid w:val="00D02CA3"/>
    <w:rsid w:val="00D03766"/>
    <w:rsid w:val="00D11758"/>
    <w:rsid w:val="00D12BA5"/>
    <w:rsid w:val="00D207FC"/>
    <w:rsid w:val="00D2238A"/>
    <w:rsid w:val="00D24D19"/>
    <w:rsid w:val="00D32DFB"/>
    <w:rsid w:val="00D33BD9"/>
    <w:rsid w:val="00D3565C"/>
    <w:rsid w:val="00D35DEF"/>
    <w:rsid w:val="00D44CF6"/>
    <w:rsid w:val="00D52A4A"/>
    <w:rsid w:val="00D61912"/>
    <w:rsid w:val="00D61BC0"/>
    <w:rsid w:val="00D66AF2"/>
    <w:rsid w:val="00D67195"/>
    <w:rsid w:val="00D7340F"/>
    <w:rsid w:val="00D75599"/>
    <w:rsid w:val="00D80559"/>
    <w:rsid w:val="00D824E7"/>
    <w:rsid w:val="00D8505F"/>
    <w:rsid w:val="00D86047"/>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0B46"/>
    <w:rsid w:val="00DC46F6"/>
    <w:rsid w:val="00DC60C5"/>
    <w:rsid w:val="00DC6BEC"/>
    <w:rsid w:val="00DD024A"/>
    <w:rsid w:val="00DD14FB"/>
    <w:rsid w:val="00DD3267"/>
    <w:rsid w:val="00DD6649"/>
    <w:rsid w:val="00DE2E28"/>
    <w:rsid w:val="00DE5974"/>
    <w:rsid w:val="00DF0679"/>
    <w:rsid w:val="00DF60AA"/>
    <w:rsid w:val="00E01327"/>
    <w:rsid w:val="00E10C21"/>
    <w:rsid w:val="00E15812"/>
    <w:rsid w:val="00E22B2A"/>
    <w:rsid w:val="00E22DA1"/>
    <w:rsid w:val="00E238E6"/>
    <w:rsid w:val="00E26CCC"/>
    <w:rsid w:val="00E32166"/>
    <w:rsid w:val="00E324F4"/>
    <w:rsid w:val="00E35B5D"/>
    <w:rsid w:val="00E363C9"/>
    <w:rsid w:val="00E5280E"/>
    <w:rsid w:val="00E54203"/>
    <w:rsid w:val="00E57EBE"/>
    <w:rsid w:val="00E60E28"/>
    <w:rsid w:val="00E62B5D"/>
    <w:rsid w:val="00E66B82"/>
    <w:rsid w:val="00E752FC"/>
    <w:rsid w:val="00E755FD"/>
    <w:rsid w:val="00E77066"/>
    <w:rsid w:val="00E770E2"/>
    <w:rsid w:val="00E80CCC"/>
    <w:rsid w:val="00E87ACF"/>
    <w:rsid w:val="00EA1E82"/>
    <w:rsid w:val="00EA3D0E"/>
    <w:rsid w:val="00EA42E6"/>
    <w:rsid w:val="00EA5AE1"/>
    <w:rsid w:val="00EB3701"/>
    <w:rsid w:val="00EB3D39"/>
    <w:rsid w:val="00EB55D9"/>
    <w:rsid w:val="00EC0921"/>
    <w:rsid w:val="00EC5E5D"/>
    <w:rsid w:val="00ED3908"/>
    <w:rsid w:val="00ED4E24"/>
    <w:rsid w:val="00ED705B"/>
    <w:rsid w:val="00ED76B2"/>
    <w:rsid w:val="00EE349A"/>
    <w:rsid w:val="00EE6EF1"/>
    <w:rsid w:val="00EF0D53"/>
    <w:rsid w:val="00EF39CA"/>
    <w:rsid w:val="00F013C0"/>
    <w:rsid w:val="00F06133"/>
    <w:rsid w:val="00F121A6"/>
    <w:rsid w:val="00F16117"/>
    <w:rsid w:val="00F26DAF"/>
    <w:rsid w:val="00F27DD3"/>
    <w:rsid w:val="00F3191C"/>
    <w:rsid w:val="00F34435"/>
    <w:rsid w:val="00F37917"/>
    <w:rsid w:val="00F46C47"/>
    <w:rsid w:val="00F552DE"/>
    <w:rsid w:val="00F6037A"/>
    <w:rsid w:val="00F603DB"/>
    <w:rsid w:val="00F613E4"/>
    <w:rsid w:val="00F61AD5"/>
    <w:rsid w:val="00F6501E"/>
    <w:rsid w:val="00F70835"/>
    <w:rsid w:val="00F70B3E"/>
    <w:rsid w:val="00F7288B"/>
    <w:rsid w:val="00F76A94"/>
    <w:rsid w:val="00F8061A"/>
    <w:rsid w:val="00F83A1D"/>
    <w:rsid w:val="00F84954"/>
    <w:rsid w:val="00F87258"/>
    <w:rsid w:val="00F9178E"/>
    <w:rsid w:val="00F94F2F"/>
    <w:rsid w:val="00FB21E9"/>
    <w:rsid w:val="00FB5783"/>
    <w:rsid w:val="00FB7C03"/>
    <w:rsid w:val="00FC04B0"/>
    <w:rsid w:val="00FC174D"/>
    <w:rsid w:val="00FC2FC0"/>
    <w:rsid w:val="00FC40D6"/>
    <w:rsid w:val="00FD2228"/>
    <w:rsid w:val="00FD25A2"/>
    <w:rsid w:val="00FD4A15"/>
    <w:rsid w:val="00FE0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3B5AD2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9A7C7B"/>
    <w:pPr>
      <w:ind w:left="720"/>
      <w:contextualSpacing/>
    </w:pPr>
  </w:style>
  <w:style w:type="character" w:styleId="CommentReference">
    <w:name w:val="annotation reference"/>
    <w:basedOn w:val="DefaultParagraphFont"/>
    <w:rsid w:val="00B90008"/>
    <w:rPr>
      <w:sz w:val="16"/>
      <w:szCs w:val="16"/>
    </w:rPr>
  </w:style>
  <w:style w:type="paragraph" w:styleId="CommentText">
    <w:name w:val="annotation text"/>
    <w:basedOn w:val="Normal"/>
    <w:link w:val="CommentTextChar"/>
    <w:rsid w:val="00B90008"/>
    <w:rPr>
      <w:sz w:val="20"/>
    </w:rPr>
  </w:style>
  <w:style w:type="character" w:customStyle="1" w:styleId="CommentTextChar">
    <w:name w:val="Comment Text Char"/>
    <w:basedOn w:val="DefaultParagraphFont"/>
    <w:link w:val="CommentText"/>
    <w:rsid w:val="00B90008"/>
  </w:style>
  <w:style w:type="paragraph" w:styleId="CommentSubject">
    <w:name w:val="annotation subject"/>
    <w:basedOn w:val="CommentText"/>
    <w:next w:val="CommentText"/>
    <w:link w:val="CommentSubjectChar"/>
    <w:rsid w:val="0007797C"/>
    <w:rPr>
      <w:b/>
      <w:bCs/>
    </w:rPr>
  </w:style>
  <w:style w:type="character" w:customStyle="1" w:styleId="CommentSubjectChar">
    <w:name w:val="Comment Subject Char"/>
    <w:basedOn w:val="CommentTextChar"/>
    <w:link w:val="CommentSubject"/>
    <w:rsid w:val="0007797C"/>
    <w:rPr>
      <w:b/>
      <w:bCs/>
    </w:rPr>
  </w:style>
  <w:style w:type="character" w:styleId="UnresolvedMention">
    <w:name w:val="Unresolved Mention"/>
    <w:basedOn w:val="DefaultParagraphFont"/>
    <w:uiPriority w:val="99"/>
    <w:semiHidden/>
    <w:unhideWhenUsed/>
    <w:rsid w:val="00123772"/>
    <w:rPr>
      <w:color w:val="605E5C"/>
      <w:shd w:val="clear" w:color="auto" w:fill="E1DFDD"/>
    </w:rPr>
  </w:style>
  <w:style w:type="paragraph" w:styleId="Revision">
    <w:name w:val="Revision"/>
    <w:hidden/>
    <w:uiPriority w:val="99"/>
    <w:semiHidden/>
    <w:rsid w:val="008743C6"/>
    <w:rPr>
      <w:sz w:val="24"/>
    </w:rPr>
  </w:style>
  <w:style w:type="character" w:customStyle="1" w:styleId="FootnoteTextChar">
    <w:name w:val="Footnote Text Char"/>
    <w:basedOn w:val="DefaultParagraphFont"/>
    <w:link w:val="FootnoteText"/>
    <w:uiPriority w:val="99"/>
    <w:semiHidden/>
    <w:rsid w:val="006413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6A56B0-1476-4382-8B00-DC6A94BAB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1069</Words>
  <Characters>5913</Characters>
  <Application>Microsoft Office Word</Application>
  <DocSecurity>4</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2020-08-21T14:03:00Z</dcterms:created>
  <dcterms:modified xsi:type="dcterms:W3CDTF">2020-08-21T14:03:00Z</dcterms:modified>
</cp:coreProperties>
</file>